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FP6GC79VA06HG9GRNQL0Y7ZC0OYYREO0XFJDAXFB8TFCTZ7BJYC0PFYYTPBIRBNMXOOZFZIAD8IJJQOFADF8D8RF0WHCBAOOOMHB3F9586A0D87167EC916302731C09C9D0F" Type="http://schemas.microsoft.com/office/2006/relationships/officeDocumentMain" Target="NULL"/><Relationship Id="DQWMQ6GI7R9A00HGRYR8ZL007NZMOAVREE0XTJDWXFG8TEWT6MBR6CJGFSUTPBRRAUM6OOL9ZHKD8LXJQJFAYFFU8RMMWMLBAFOOQHB36C6F396E733C4A60AC7F24ACF1D3962D"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CC" w:rsidRPr="00D444CC" w:rsidRDefault="00D444CC" w:rsidP="00D444CC">
      <w:pPr>
        <w:widowControl/>
        <w:shd w:val="clear" w:color="auto" w:fill="FFFFFF"/>
        <w:adjustRightInd w:val="0"/>
        <w:snapToGrid w:val="0"/>
        <w:spacing w:line="360" w:lineRule="auto"/>
        <w:ind w:firstLineChars="200" w:firstLine="723"/>
        <w:jc w:val="center"/>
        <w:rPr>
          <w:rFonts w:ascii="宋体" w:eastAsia="宋体" w:hAnsi="宋体" w:cs="宋体"/>
          <w:b/>
          <w:bCs/>
          <w:color w:val="0C5CB1"/>
          <w:kern w:val="0"/>
          <w:sz w:val="36"/>
          <w:szCs w:val="36"/>
        </w:rPr>
      </w:pPr>
      <w:r w:rsidRPr="00D444CC">
        <w:rPr>
          <w:rFonts w:ascii="宋体" w:eastAsia="宋体" w:hAnsi="宋体" w:cs="宋体" w:hint="eastAsia"/>
          <w:b/>
          <w:bCs/>
          <w:color w:val="0C5CB1"/>
          <w:kern w:val="0"/>
          <w:sz w:val="36"/>
          <w:szCs w:val="36"/>
        </w:rPr>
        <w:t>《证券法》涉及投资者保护内容摘编</w:t>
      </w:r>
    </w:p>
    <w:p w:rsidR="00D444CC" w:rsidRPr="00D444CC" w:rsidRDefault="00D444CC" w:rsidP="00D444CC">
      <w:pPr>
        <w:widowControl/>
        <w:shd w:val="clear" w:color="auto" w:fill="FFFFFF"/>
        <w:adjustRightInd w:val="0"/>
        <w:snapToGrid w:val="0"/>
        <w:spacing w:beforeLines="100" w:before="312" w:afterLines="50" w:after="156" w:line="360" w:lineRule="auto"/>
        <w:jc w:val="center"/>
        <w:rPr>
          <w:rFonts w:ascii="宋体" w:eastAsia="宋体" w:hAnsi="宋体" w:cs="宋体" w:hint="eastAsia"/>
          <w:color w:val="333333"/>
          <w:kern w:val="0"/>
          <w:sz w:val="28"/>
          <w:szCs w:val="28"/>
        </w:rPr>
      </w:pPr>
      <w:r w:rsidRPr="00D444CC">
        <w:rPr>
          <w:rFonts w:ascii="宋体" w:eastAsia="宋体" w:hAnsi="宋体" w:cs="宋体" w:hint="eastAsia"/>
          <w:color w:val="333333"/>
          <w:kern w:val="0"/>
          <w:sz w:val="28"/>
          <w:szCs w:val="28"/>
        </w:rPr>
        <w:t> </w:t>
      </w:r>
      <w:r w:rsidRPr="00D444CC">
        <w:rPr>
          <w:rFonts w:ascii="宋体" w:eastAsia="宋体" w:hAnsi="宋体" w:cs="宋体" w:hint="eastAsia"/>
          <w:b/>
          <w:bCs/>
          <w:color w:val="333333"/>
          <w:kern w:val="0"/>
          <w:sz w:val="28"/>
          <w:szCs w:val="28"/>
        </w:rPr>
        <w:t>第一章  总则</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第一条</w:t>
      </w:r>
      <w:r w:rsidRPr="00D444CC">
        <w:rPr>
          <w:rFonts w:ascii="宋体" w:eastAsia="宋体" w:hAnsi="宋体" w:cs="宋体" w:hint="eastAsia"/>
          <w:color w:val="333333"/>
          <w:kern w:val="0"/>
          <w:szCs w:val="21"/>
        </w:rPr>
        <w:t xml:space="preserve"> 为了规范证券发行和交易行为，保护投资者的合法权益，维护社会经济秩序和社会公共利益，促进社会主义市场经济的发展，制定本法。</w:t>
      </w:r>
    </w:p>
    <w:p w:rsidR="00D444CC" w:rsidRPr="00D444CC" w:rsidRDefault="00D444CC" w:rsidP="00D444CC">
      <w:pPr>
        <w:widowControl/>
        <w:shd w:val="clear" w:color="auto" w:fill="FFFFFF"/>
        <w:adjustRightInd w:val="0"/>
        <w:snapToGrid w:val="0"/>
        <w:spacing w:beforeLines="100" w:before="312" w:afterLines="50" w:after="156" w:line="360" w:lineRule="auto"/>
        <w:jc w:val="center"/>
        <w:rPr>
          <w:rFonts w:ascii="宋体" w:eastAsia="宋体" w:hAnsi="宋体" w:cs="宋体" w:hint="eastAsia"/>
          <w:b/>
          <w:bCs/>
          <w:color w:val="333333"/>
          <w:kern w:val="0"/>
          <w:sz w:val="28"/>
          <w:szCs w:val="28"/>
        </w:rPr>
      </w:pPr>
      <w:r w:rsidRPr="00D444CC">
        <w:rPr>
          <w:rFonts w:ascii="宋体" w:eastAsia="宋体" w:hAnsi="宋体" w:cs="宋体" w:hint="eastAsia"/>
          <w:b/>
          <w:bCs/>
          <w:color w:val="333333"/>
          <w:kern w:val="0"/>
          <w:sz w:val="28"/>
          <w:szCs w:val="28"/>
        </w:rPr>
        <w:t>第六章  投资者保护</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第八十八条</w:t>
      </w:r>
      <w:r w:rsidRPr="00D444CC">
        <w:rPr>
          <w:rFonts w:ascii="宋体" w:eastAsia="宋体" w:hAnsi="宋体" w:cs="宋体" w:hint="eastAsia"/>
          <w:color w:val="333333"/>
          <w:kern w:val="0"/>
          <w:szCs w:val="21"/>
        </w:rPr>
        <w:t xml:space="preserve">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投资者在购买证券或者接受服务时，应当按照证券公司明示的要求提供前款所列真实信息。拒绝提供或者未按照要求提供信息的，证券公司应当告知其后果，并按照规定拒绝向其销售证券、提供服务。</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证券公司违反第一款规定导致投资者损失的，应当承担相应的赔偿责任。</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第八十九条</w:t>
      </w:r>
      <w:r w:rsidRPr="00D444CC">
        <w:rPr>
          <w:rFonts w:ascii="宋体" w:eastAsia="宋体" w:hAnsi="宋体" w:cs="宋体" w:hint="eastAsia"/>
          <w:color w:val="333333"/>
          <w:kern w:val="0"/>
          <w:szCs w:val="21"/>
        </w:rPr>
        <w:t xml:space="preserve"> 根据财产状况、金融资产状况、投资知识和经验、专业能力等因素，投资者可以分为普通投资者和专业投资者。专业投资者的标准由国务院证券监督管理机构规定。</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普通投资者与证券公司发生纠纷的，证券公司应当证明其行为符合法律、行政法规以及国务院证券监督管理机构的规定，不存在误导、欺诈等情形。证券公司不能证明的，应当承担相应的赔偿责任。</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第九十条</w:t>
      </w:r>
      <w:r w:rsidRPr="00D444CC">
        <w:rPr>
          <w:rFonts w:ascii="宋体" w:eastAsia="宋体" w:hAnsi="宋体" w:cs="宋体" w:hint="eastAsia"/>
          <w:color w:val="333333"/>
          <w:kern w:val="0"/>
          <w:szCs w:val="21"/>
        </w:rPr>
        <w:t xml:space="preserve">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依照前款规定征集股东权利的，征集人应当披露征集文件，上市公司应当予以配合。</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禁止以有偿或者变相有偿的方式公开征集股东权利。</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公开征集股东权利违反法律、行政法规或者国务院证券监督管理机构有关规定，导致上市公司或者其股东遭受损失的，应当依法承担赔偿责任。</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第九十一条</w:t>
      </w:r>
      <w:r w:rsidRPr="00D444CC">
        <w:rPr>
          <w:rFonts w:ascii="宋体" w:eastAsia="宋体" w:hAnsi="宋体" w:cs="宋体" w:hint="eastAsia"/>
          <w:color w:val="333333"/>
          <w:kern w:val="0"/>
          <w:szCs w:val="21"/>
        </w:rPr>
        <w:t xml:space="preserve"> 上市公司应当在章程中明确分配现金股利的具体安排和决策程序，依法保障股东的资产收益权。</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lastRenderedPageBreak/>
        <w:t>上市公司当年税后利润，在弥补亏损及提取法定公积金后有盈余的，应当按照公司章程的规定分配现金股利。</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第九十二条</w:t>
      </w:r>
      <w:r w:rsidRPr="00D444CC">
        <w:rPr>
          <w:rFonts w:ascii="宋体" w:eastAsia="宋体" w:hAnsi="宋体" w:cs="宋体" w:hint="eastAsia"/>
          <w:color w:val="333333"/>
          <w:kern w:val="0"/>
          <w:szCs w:val="21"/>
        </w:rPr>
        <w:t xml:space="preserve"> 公开发行公司债券的，应当设立债券持有人会议，并应当在募集说明书中说明债券持有人会议的召集程序、会议规则和其他重要事项。</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债券发行人未能按期兑付债券本息的，债券受托管理人可以接受全部或者部分债券持有人的委托，以自己名义代表债券持有人提起、参加民事诉讼或者清算程序。</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第九十三条</w:t>
      </w:r>
      <w:r w:rsidRPr="00D444CC">
        <w:rPr>
          <w:rFonts w:ascii="宋体" w:eastAsia="宋体" w:hAnsi="宋体" w:cs="宋体" w:hint="eastAsia"/>
          <w:color w:val="333333"/>
          <w:kern w:val="0"/>
          <w:szCs w:val="21"/>
        </w:rPr>
        <w:t xml:space="preserve">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第九十四条</w:t>
      </w:r>
      <w:r w:rsidRPr="00D444CC">
        <w:rPr>
          <w:rFonts w:ascii="宋体" w:eastAsia="宋体" w:hAnsi="宋体" w:cs="宋体" w:hint="eastAsia"/>
          <w:color w:val="333333"/>
          <w:kern w:val="0"/>
          <w:szCs w:val="21"/>
        </w:rPr>
        <w:t xml:space="preserve"> 投资者与发行人、证券公司等发生纠纷的，双方可以向投资者保护机构申请调解。普通投资者与证券公司发生证券业务纠纷，普通投资者提出调解请求的，证券公司不得拒绝。</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投资者保护机构对损害投资者利益的行为，可以依法支持投资者向人民法院提起诉讼。</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D444CC" w:rsidRPr="00D444CC" w:rsidRDefault="00D444CC" w:rsidP="00D444CC">
      <w:pPr>
        <w:widowControl/>
        <w:shd w:val="clear" w:color="auto" w:fill="FFFFFF"/>
        <w:adjustRightInd w:val="0"/>
        <w:snapToGrid w:val="0"/>
        <w:spacing w:line="360" w:lineRule="auto"/>
        <w:ind w:firstLineChars="200" w:firstLine="422"/>
        <w:jc w:val="left"/>
        <w:rPr>
          <w:rFonts w:ascii="宋体" w:eastAsia="宋体" w:hAnsi="宋体" w:cs="宋体" w:hint="eastAsia"/>
          <w:color w:val="333333"/>
          <w:kern w:val="0"/>
          <w:szCs w:val="21"/>
        </w:rPr>
      </w:pPr>
      <w:r w:rsidRPr="00D444CC">
        <w:rPr>
          <w:rFonts w:ascii="宋体" w:eastAsia="宋体" w:hAnsi="宋体" w:cs="宋体" w:hint="eastAsia"/>
          <w:b/>
          <w:bCs/>
          <w:color w:val="333333"/>
          <w:kern w:val="0"/>
          <w:szCs w:val="21"/>
        </w:rPr>
        <w:t>第九十五条</w:t>
      </w:r>
      <w:r w:rsidRPr="00D444CC">
        <w:rPr>
          <w:rFonts w:ascii="宋体" w:eastAsia="宋体" w:hAnsi="宋体" w:cs="宋体" w:hint="eastAsia"/>
          <w:color w:val="333333"/>
          <w:kern w:val="0"/>
          <w:szCs w:val="21"/>
        </w:rPr>
        <w:t xml:space="preserve"> 投资者提起虚假陈述等证券民事赔偿诉讼时，诉讼标的是同一种类，且当事人一方人数众多的，可以依法推选代表人进行诉讼。</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对按照前款规定提起的诉讼，可能存在有相同诉讼请求的其他众多投资者的，人民法院可以发出公告，说明该诉讼请求的案件情况，通知投资者在一定期间向人民法院登记。人民法院</w:t>
      </w:r>
      <w:proofErr w:type="gramStart"/>
      <w:r w:rsidRPr="00D444CC">
        <w:rPr>
          <w:rFonts w:ascii="宋体" w:eastAsia="宋体" w:hAnsi="宋体" w:cs="宋体" w:hint="eastAsia"/>
          <w:color w:val="333333"/>
          <w:kern w:val="0"/>
          <w:szCs w:val="21"/>
        </w:rPr>
        <w:t>作出</w:t>
      </w:r>
      <w:proofErr w:type="gramEnd"/>
      <w:r w:rsidRPr="00D444CC">
        <w:rPr>
          <w:rFonts w:ascii="宋体" w:eastAsia="宋体" w:hAnsi="宋体" w:cs="宋体" w:hint="eastAsia"/>
          <w:color w:val="333333"/>
          <w:kern w:val="0"/>
          <w:szCs w:val="21"/>
        </w:rPr>
        <w:t>的判决、裁定，</w:t>
      </w:r>
      <w:bookmarkStart w:id="0" w:name="_GoBack"/>
      <w:bookmarkEnd w:id="0"/>
      <w:r w:rsidRPr="00D444CC">
        <w:rPr>
          <w:rFonts w:ascii="宋体" w:eastAsia="宋体" w:hAnsi="宋体" w:cs="宋体" w:hint="eastAsia"/>
          <w:color w:val="333333"/>
          <w:kern w:val="0"/>
          <w:szCs w:val="21"/>
        </w:rPr>
        <w:t>对参加登记的投资者发生效力。</w:t>
      </w:r>
    </w:p>
    <w:p w:rsidR="00D444CC" w:rsidRPr="00D444CC" w:rsidRDefault="00D444CC" w:rsidP="00D444CC">
      <w:pPr>
        <w:widowControl/>
        <w:shd w:val="clear" w:color="auto" w:fill="FFFFFF"/>
        <w:adjustRightInd w:val="0"/>
        <w:snapToGrid w:val="0"/>
        <w:spacing w:line="360" w:lineRule="auto"/>
        <w:ind w:firstLineChars="200" w:firstLine="420"/>
        <w:jc w:val="left"/>
        <w:rPr>
          <w:rFonts w:ascii="宋体" w:eastAsia="宋体" w:hAnsi="宋体" w:cs="宋体" w:hint="eastAsia"/>
          <w:color w:val="333333"/>
          <w:kern w:val="0"/>
          <w:szCs w:val="21"/>
        </w:rPr>
      </w:pPr>
      <w:r w:rsidRPr="00D444CC">
        <w:rPr>
          <w:rFonts w:ascii="宋体" w:eastAsia="宋体" w:hAnsi="宋体" w:cs="宋体" w:hint="eastAsia"/>
          <w:color w:val="333333"/>
          <w:kern w:val="0"/>
          <w:szCs w:val="21"/>
        </w:rPr>
        <w:t>投资者保护机构受五十名以上投资者委托，可以作为代表人参加诉讼，并为经证券登记结算机构确认的权利人依照前款规定向人民法院登记，但投资者明确表示不愿意参加该诉讼的除外。</w:t>
      </w:r>
    </w:p>
    <w:p w:rsidR="00A52D56" w:rsidRPr="00D444CC" w:rsidRDefault="00A52D56" w:rsidP="00D444CC">
      <w:pPr>
        <w:adjustRightInd w:val="0"/>
        <w:snapToGrid w:val="0"/>
        <w:spacing w:line="360" w:lineRule="auto"/>
        <w:ind w:firstLineChars="200" w:firstLine="420"/>
        <w:rPr>
          <w:rFonts w:ascii="宋体" w:eastAsia="宋体" w:hAnsi="宋体"/>
          <w:szCs w:val="21"/>
        </w:rPr>
      </w:pPr>
    </w:p>
    <w:sectPr w:rsidR="00A52D56" w:rsidRPr="00D44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6A" w:rsidRDefault="00BC606A" w:rsidP="00D444CC">
      <w:r>
        <w:separator/>
      </w:r>
    </w:p>
  </w:endnote>
  <w:endnote w:type="continuationSeparator" w:id="0">
    <w:p w:rsidR="00BC606A" w:rsidRDefault="00BC606A" w:rsidP="00D4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6A" w:rsidRDefault="00BC606A" w:rsidP="00D444CC">
      <w:r>
        <w:separator/>
      </w:r>
    </w:p>
  </w:footnote>
  <w:footnote w:type="continuationSeparator" w:id="0">
    <w:p w:rsidR="00BC606A" w:rsidRDefault="00BC606A" w:rsidP="00D4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59"/>
    <w:rsid w:val="00A52D56"/>
    <w:rsid w:val="00BB3C59"/>
    <w:rsid w:val="00BC606A"/>
    <w:rsid w:val="00D4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8D26"/>
  <w15:chartTrackingRefBased/>
  <w15:docId w15:val="{2C23F497-4CE8-4EC6-9366-7DF42B41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5831">
      <w:bodyDiv w:val="1"/>
      <w:marLeft w:val="0"/>
      <w:marRight w:val="0"/>
      <w:marTop w:val="0"/>
      <w:marBottom w:val="0"/>
      <w:divBdr>
        <w:top w:val="none" w:sz="0" w:space="0" w:color="auto"/>
        <w:left w:val="none" w:sz="0" w:space="0" w:color="auto"/>
        <w:bottom w:val="none" w:sz="0" w:space="0" w:color="auto"/>
        <w:right w:val="none" w:sz="0" w:space="0" w:color="auto"/>
      </w:divBdr>
      <w:divsChild>
        <w:div w:id="302350002">
          <w:marLeft w:val="0"/>
          <w:marRight w:val="0"/>
          <w:marTop w:val="0"/>
          <w:marBottom w:val="0"/>
          <w:divBdr>
            <w:top w:val="none" w:sz="0" w:space="0" w:color="auto"/>
            <w:left w:val="none" w:sz="0" w:space="0" w:color="auto"/>
            <w:bottom w:val="none" w:sz="0" w:space="0" w:color="auto"/>
            <w:right w:val="none" w:sz="0" w:space="0" w:color="auto"/>
          </w:divBdr>
          <w:divsChild>
            <w:div w:id="1150246435">
              <w:marLeft w:val="0"/>
              <w:marRight w:val="0"/>
              <w:marTop w:val="0"/>
              <w:marBottom w:val="0"/>
              <w:divBdr>
                <w:top w:val="none" w:sz="0" w:space="0" w:color="auto"/>
                <w:left w:val="none" w:sz="0" w:space="0" w:color="auto"/>
                <w:bottom w:val="none" w:sz="0" w:space="0" w:color="auto"/>
                <w:right w:val="none" w:sz="0" w:space="0" w:color="auto"/>
              </w:divBdr>
              <w:divsChild>
                <w:div w:id="1654216695">
                  <w:marLeft w:val="105"/>
                  <w:marRight w:val="105"/>
                  <w:marTop w:val="0"/>
                  <w:marBottom w:val="0"/>
                  <w:divBdr>
                    <w:top w:val="none" w:sz="0" w:space="0" w:color="auto"/>
                    <w:left w:val="none" w:sz="0" w:space="0" w:color="auto"/>
                    <w:bottom w:val="none" w:sz="0" w:space="0" w:color="auto"/>
                    <w:right w:val="none" w:sz="0" w:space="0" w:color="auto"/>
                  </w:divBdr>
                  <w:divsChild>
                    <w:div w:id="508101811">
                      <w:marLeft w:val="0"/>
                      <w:marRight w:val="0"/>
                      <w:marTop w:val="0"/>
                      <w:marBottom w:val="0"/>
                      <w:divBdr>
                        <w:top w:val="none" w:sz="0" w:space="0" w:color="auto"/>
                        <w:left w:val="none" w:sz="0" w:space="0" w:color="auto"/>
                        <w:bottom w:val="none" w:sz="0" w:space="0" w:color="auto"/>
                        <w:right w:val="none" w:sz="0" w:space="0" w:color="auto"/>
                      </w:divBdr>
                      <w:divsChild>
                        <w:div w:id="1725711515">
                          <w:marLeft w:val="0"/>
                          <w:marRight w:val="0"/>
                          <w:marTop w:val="0"/>
                          <w:marBottom w:val="0"/>
                          <w:divBdr>
                            <w:top w:val="none" w:sz="0" w:space="0" w:color="auto"/>
                            <w:left w:val="none" w:sz="0" w:space="0" w:color="auto"/>
                            <w:bottom w:val="single" w:sz="12" w:space="11" w:color="CCCCCC"/>
                            <w:right w:val="none" w:sz="0" w:space="0" w:color="auto"/>
                          </w:divBdr>
                        </w:div>
                        <w:div w:id="2055426516">
                          <w:marLeft w:val="0"/>
                          <w:marRight w:val="0"/>
                          <w:marTop w:val="0"/>
                          <w:marBottom w:val="300"/>
                          <w:divBdr>
                            <w:top w:val="none" w:sz="0" w:space="0" w:color="auto"/>
                            <w:left w:val="none" w:sz="0" w:space="0" w:color="auto"/>
                            <w:bottom w:val="none" w:sz="0" w:space="0" w:color="auto"/>
                            <w:right w:val="none" w:sz="0" w:space="0" w:color="auto"/>
                          </w:divBdr>
                        </w:div>
                        <w:div w:id="11497888">
                          <w:marLeft w:val="0"/>
                          <w:marRight w:val="0"/>
                          <w:marTop w:val="0"/>
                          <w:marBottom w:val="0"/>
                          <w:divBdr>
                            <w:top w:val="none" w:sz="0" w:space="0" w:color="auto"/>
                            <w:left w:val="none" w:sz="0" w:space="0" w:color="auto"/>
                            <w:bottom w:val="none" w:sz="0" w:space="0" w:color="auto"/>
                            <w:right w:val="none" w:sz="0" w:space="0" w:color="auto"/>
                          </w:divBdr>
                          <w:divsChild>
                            <w:div w:id="111486067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3E2F-E4AE-48C4-B356-045530AD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1550</Characters>
  <Application>Microsoft Office Word</Application>
  <DocSecurity>0</DocSecurity>
  <Lines>12</Lines>
  <Paragraphs>3</Paragraphs>
  <ScaleCrop>false</ScaleCrop>
  <Company>LENOVO</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冰 娜</dc:creator>
  <cp:keywords/>
  <dc:description/>
  <cp:lastModifiedBy>李 冰 娜</cp:lastModifiedBy>
  <cp:revision>2</cp:revision>
  <dcterms:created xsi:type="dcterms:W3CDTF">2020-05-25T08:01:00Z</dcterms:created>
  <dcterms:modified xsi:type="dcterms:W3CDTF">2020-05-25T08:04:00Z</dcterms:modified>
</cp:coreProperties>
</file>