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KWMK6GO79VQ059GQYRNKL0Y7NZMOSVREX0XXJDUXFGRTE5TZ8BRQC0PFYRHP8IRXJMXCOL9ZIA78HJJRSFARFFU8RLMWHCB8FOOKHB3BB73136E5546BB85FA50BED6674B9CA6" Type="http://schemas.microsoft.com/office/2006/relationships/officeDocumentMain" Target="NULL"/><Relationship Id="SAWFI6GC7RYA06BGQPR8KL007NMMOXYREO06XJEIXFGRTQ5TZDBJIC0EFS6TPC6RXXMXEOLIZIWD8IJJQFFADF8H89Q0WI5B8FOOIHB3A3ACCCB83611D78226F36020C42E06EA"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1" w:rsidRPr="009F68BE" w:rsidRDefault="00CD5D71" w:rsidP="0039254C">
      <w:pPr>
        <w:pStyle w:val="Default"/>
        <w:spacing w:before="156" w:after="156"/>
        <w:jc w:val="center"/>
        <w:rPr>
          <w:rFonts w:asciiTheme="minorEastAsia" w:eastAsiaTheme="minorEastAsia" w:hAnsiTheme="minorEastAsia"/>
          <w:sz w:val="21"/>
          <w:szCs w:val="21"/>
        </w:rPr>
      </w:pPr>
      <w:r w:rsidRPr="009F68BE">
        <w:rPr>
          <w:rFonts w:asciiTheme="minorEastAsia" w:eastAsiaTheme="minorEastAsia" w:hAnsiTheme="minorEastAsia" w:hint="eastAsia"/>
          <w:sz w:val="21"/>
          <w:szCs w:val="21"/>
        </w:rPr>
        <w:t>证券代码：002035</w:t>
      </w:r>
      <w:r w:rsidR="001927AE" w:rsidRPr="009F68BE">
        <w:rPr>
          <w:rFonts w:asciiTheme="minorEastAsia" w:eastAsiaTheme="minorEastAsia" w:hAnsiTheme="minorEastAsia" w:hint="eastAsia"/>
          <w:sz w:val="21"/>
          <w:szCs w:val="21"/>
        </w:rPr>
        <w:t xml:space="preserve">           </w:t>
      </w:r>
      <w:r w:rsidRPr="009F68BE">
        <w:rPr>
          <w:rFonts w:asciiTheme="minorEastAsia" w:eastAsiaTheme="minorEastAsia" w:hAnsiTheme="minorEastAsia" w:hint="eastAsia"/>
          <w:sz w:val="21"/>
          <w:szCs w:val="21"/>
        </w:rPr>
        <w:t>证券简称：华</w:t>
      </w:r>
      <w:proofErr w:type="gramStart"/>
      <w:r w:rsidRPr="009F68BE">
        <w:rPr>
          <w:rFonts w:asciiTheme="minorEastAsia" w:eastAsiaTheme="minorEastAsia" w:hAnsiTheme="minorEastAsia" w:hint="eastAsia"/>
          <w:sz w:val="21"/>
          <w:szCs w:val="21"/>
        </w:rPr>
        <w:t>帝股份</w:t>
      </w:r>
      <w:proofErr w:type="gramEnd"/>
      <w:r w:rsidR="001927AE" w:rsidRPr="009F68BE">
        <w:rPr>
          <w:rFonts w:asciiTheme="minorEastAsia" w:eastAsiaTheme="minorEastAsia" w:hAnsiTheme="minorEastAsia" w:hint="eastAsia"/>
          <w:sz w:val="21"/>
          <w:szCs w:val="21"/>
        </w:rPr>
        <w:t xml:space="preserve">           </w:t>
      </w:r>
      <w:r w:rsidRPr="009F68BE">
        <w:rPr>
          <w:rFonts w:asciiTheme="minorEastAsia" w:eastAsiaTheme="minorEastAsia" w:hAnsiTheme="minorEastAsia" w:hint="eastAsia"/>
          <w:sz w:val="21"/>
          <w:szCs w:val="21"/>
        </w:rPr>
        <w:t>公告编号：</w:t>
      </w:r>
      <w:r w:rsidR="0039254C" w:rsidRPr="009F68BE">
        <w:rPr>
          <w:rFonts w:asciiTheme="minorEastAsia" w:eastAsiaTheme="minorEastAsia" w:hAnsiTheme="minorEastAsia"/>
          <w:sz w:val="21"/>
          <w:szCs w:val="21"/>
        </w:rPr>
        <w:t>2020-0</w:t>
      </w:r>
      <w:r w:rsidR="00816C48">
        <w:rPr>
          <w:rFonts w:asciiTheme="minorEastAsia" w:eastAsiaTheme="minorEastAsia" w:hAnsiTheme="minorEastAsia"/>
          <w:sz w:val="21"/>
          <w:szCs w:val="21"/>
        </w:rPr>
        <w:t>24</w:t>
      </w:r>
    </w:p>
    <w:p w:rsidR="008A1761" w:rsidRDefault="00CD5D71" w:rsidP="008A1761">
      <w:pPr>
        <w:pStyle w:val="Default"/>
        <w:spacing w:line="360" w:lineRule="auto"/>
        <w:jc w:val="center"/>
        <w:rPr>
          <w:rFonts w:asciiTheme="minorEastAsia" w:eastAsiaTheme="minorEastAsia" w:hAnsiTheme="minorEastAsia"/>
          <w:b/>
          <w:sz w:val="30"/>
          <w:szCs w:val="30"/>
        </w:rPr>
      </w:pPr>
      <w:r w:rsidRPr="009F68BE">
        <w:rPr>
          <w:rFonts w:asciiTheme="minorEastAsia" w:eastAsiaTheme="minorEastAsia" w:hAnsiTheme="minorEastAsia" w:hint="eastAsia"/>
          <w:b/>
          <w:sz w:val="30"/>
          <w:szCs w:val="30"/>
        </w:rPr>
        <w:t>华帝股份有限公司</w:t>
      </w:r>
    </w:p>
    <w:p w:rsidR="007260D1" w:rsidRPr="009F68BE" w:rsidRDefault="008A1761" w:rsidP="008A1761">
      <w:pPr>
        <w:pStyle w:val="Default"/>
        <w:spacing w:line="360" w:lineRule="auto"/>
        <w:jc w:val="center"/>
        <w:rPr>
          <w:rFonts w:asciiTheme="minorEastAsia" w:eastAsiaTheme="minorEastAsia" w:hAnsiTheme="minorEastAsia"/>
          <w:b/>
          <w:sz w:val="30"/>
          <w:szCs w:val="30"/>
        </w:rPr>
      </w:pPr>
      <w:r w:rsidRPr="008A1761">
        <w:rPr>
          <w:rFonts w:asciiTheme="minorEastAsia" w:eastAsiaTheme="minorEastAsia" w:hAnsiTheme="minorEastAsia" w:hint="eastAsia"/>
          <w:b/>
          <w:sz w:val="30"/>
          <w:szCs w:val="30"/>
        </w:rPr>
        <w:t>关于控股股东部分</w:t>
      </w:r>
      <w:r w:rsidR="00A248B8">
        <w:rPr>
          <w:rFonts w:asciiTheme="minorEastAsia" w:eastAsiaTheme="minorEastAsia" w:hAnsiTheme="minorEastAsia" w:hint="eastAsia"/>
          <w:b/>
          <w:sz w:val="30"/>
          <w:szCs w:val="30"/>
        </w:rPr>
        <w:t>股份</w:t>
      </w:r>
      <w:r w:rsidRPr="008A1761">
        <w:rPr>
          <w:rFonts w:asciiTheme="minorEastAsia" w:eastAsiaTheme="minorEastAsia" w:hAnsiTheme="minorEastAsia" w:hint="eastAsia"/>
          <w:b/>
          <w:sz w:val="30"/>
          <w:szCs w:val="30"/>
        </w:rPr>
        <w:t>质押</w:t>
      </w:r>
      <w:r w:rsidR="00C868DE">
        <w:rPr>
          <w:rFonts w:asciiTheme="minorEastAsia" w:eastAsiaTheme="minorEastAsia" w:hAnsiTheme="minorEastAsia" w:hint="eastAsia"/>
          <w:b/>
          <w:sz w:val="30"/>
          <w:szCs w:val="30"/>
        </w:rPr>
        <w:t>展期</w:t>
      </w:r>
      <w:r w:rsidRPr="008A1761">
        <w:rPr>
          <w:rFonts w:asciiTheme="minorEastAsia" w:eastAsiaTheme="minorEastAsia" w:hAnsiTheme="minorEastAsia" w:hint="eastAsia"/>
          <w:b/>
          <w:sz w:val="30"/>
          <w:szCs w:val="30"/>
        </w:rPr>
        <w:t>的公告</w:t>
      </w:r>
    </w:p>
    <w:p w:rsidR="00CD5D71" w:rsidRPr="009F68BE" w:rsidRDefault="008A76E9" w:rsidP="0039254C">
      <w:pPr>
        <w:adjustRightInd w:val="0"/>
        <w:snapToGrid w:val="0"/>
        <w:spacing w:beforeLines="100" w:before="316" w:afterLines="100" w:after="316"/>
        <w:ind w:firstLineChars="200" w:firstLine="420"/>
        <w:rPr>
          <w:rFonts w:asciiTheme="minorEastAsia" w:eastAsiaTheme="minorEastAsia" w:hAnsiTheme="minorEastAsia"/>
          <w:szCs w:val="21"/>
        </w:rPr>
      </w:pPr>
      <w:r w:rsidRPr="009F68BE">
        <w:rPr>
          <w:rFonts w:asciiTheme="minorEastAsia" w:eastAsiaTheme="minorEastAsia" w:hAnsiTheme="minorEastAsia" w:hint="eastAsia"/>
          <w:szCs w:val="21"/>
        </w:rPr>
        <w:t>本公司及董事会全体成员保证信息披露的内容真实、准确、完整，没有虚假记载、误导性陈述或重大遗漏。</w:t>
      </w:r>
    </w:p>
    <w:p w:rsidR="008A1761" w:rsidRPr="008A1761" w:rsidRDefault="008A1761" w:rsidP="008A1761">
      <w:pPr>
        <w:pStyle w:val="Default"/>
        <w:snapToGrid w:val="0"/>
        <w:spacing w:line="360" w:lineRule="auto"/>
        <w:ind w:firstLineChars="200" w:firstLine="422"/>
        <w:rPr>
          <w:rFonts w:asciiTheme="minorEastAsia" w:eastAsiaTheme="minorEastAsia" w:hAnsiTheme="minorEastAsia"/>
          <w:b/>
          <w:color w:val="auto"/>
          <w:sz w:val="21"/>
          <w:szCs w:val="21"/>
        </w:rPr>
      </w:pPr>
      <w:r w:rsidRPr="008A1761">
        <w:rPr>
          <w:rFonts w:asciiTheme="minorEastAsia" w:eastAsiaTheme="minorEastAsia" w:hAnsiTheme="minorEastAsia" w:hint="eastAsia"/>
          <w:b/>
          <w:color w:val="auto"/>
          <w:sz w:val="21"/>
          <w:szCs w:val="21"/>
        </w:rPr>
        <w:t>重要内容提示：</w:t>
      </w:r>
    </w:p>
    <w:p w:rsidR="008A1761" w:rsidRPr="008A1761" w:rsidRDefault="008A1761" w:rsidP="008A1761">
      <w:pPr>
        <w:widowControl/>
        <w:adjustRightInd w:val="0"/>
        <w:snapToGrid w:val="0"/>
        <w:spacing w:beforeLines="0" w:afterLines="0"/>
        <w:ind w:firstLineChars="200" w:firstLine="420"/>
        <w:jc w:val="left"/>
        <w:rPr>
          <w:rFonts w:asciiTheme="minorEastAsia" w:eastAsiaTheme="minorEastAsia" w:hAnsiTheme="minorEastAsia" w:cs="宋体"/>
          <w:color w:val="000000"/>
          <w:szCs w:val="21"/>
        </w:rPr>
      </w:pPr>
      <w:r w:rsidRPr="008A1761">
        <w:rPr>
          <w:rFonts w:asciiTheme="minorEastAsia" w:eastAsiaTheme="minorEastAsia" w:hAnsiTheme="minorEastAsia" w:hint="eastAsia"/>
          <w:szCs w:val="21"/>
        </w:rPr>
        <w:t>华帝股份有限公司（以下简称“公司”）控股股东石河子奋进股权投资普通合伙企业</w:t>
      </w:r>
      <w:r w:rsidRPr="008A1761">
        <w:rPr>
          <w:rFonts w:asciiTheme="minorEastAsia" w:eastAsiaTheme="minorEastAsia" w:hAnsiTheme="minorEastAsia"/>
          <w:szCs w:val="21"/>
        </w:rPr>
        <w:t>（以下简称“</w:t>
      </w:r>
      <w:r w:rsidRPr="008A1761">
        <w:rPr>
          <w:rFonts w:asciiTheme="minorEastAsia" w:eastAsiaTheme="minorEastAsia" w:hAnsiTheme="minorEastAsia" w:hint="eastAsia"/>
          <w:szCs w:val="21"/>
        </w:rPr>
        <w:t>奋进投资</w:t>
      </w:r>
      <w:r w:rsidRPr="008A1761">
        <w:rPr>
          <w:rFonts w:asciiTheme="minorEastAsia" w:eastAsiaTheme="minorEastAsia" w:hAnsiTheme="minorEastAsia"/>
          <w:szCs w:val="21"/>
        </w:rPr>
        <w:t>”）</w:t>
      </w:r>
      <w:r w:rsidRPr="008A1761">
        <w:rPr>
          <w:rFonts w:asciiTheme="minorEastAsia" w:eastAsiaTheme="minorEastAsia" w:hAnsiTheme="minorEastAsia" w:hint="eastAsia"/>
          <w:szCs w:val="21"/>
        </w:rPr>
        <w:t>持有公司股份</w:t>
      </w:r>
      <w:r w:rsidRPr="008A1761">
        <w:rPr>
          <w:rFonts w:asciiTheme="minorEastAsia" w:eastAsiaTheme="minorEastAsia" w:hAnsiTheme="minorEastAsia" w:cs="宋体" w:hint="eastAsia"/>
          <w:color w:val="000000"/>
          <w:szCs w:val="21"/>
        </w:rPr>
        <w:t>120,960,000</w:t>
      </w:r>
      <w:r w:rsidRPr="008A1761">
        <w:rPr>
          <w:rFonts w:asciiTheme="minorEastAsia" w:eastAsiaTheme="minorEastAsia" w:hAnsiTheme="minorEastAsia" w:hint="eastAsia"/>
          <w:szCs w:val="21"/>
        </w:rPr>
        <w:t>股，占公司总股本的</w:t>
      </w:r>
      <w:r w:rsidRPr="008A1761">
        <w:rPr>
          <w:rFonts w:asciiTheme="minorEastAsia" w:eastAsiaTheme="minorEastAsia" w:hAnsiTheme="minorEastAsia" w:cs="宋体" w:hint="eastAsia"/>
          <w:color w:val="000000"/>
          <w:szCs w:val="21"/>
        </w:rPr>
        <w:t>13.92%</w:t>
      </w:r>
      <w:r w:rsidRPr="008A1761">
        <w:rPr>
          <w:rFonts w:asciiTheme="minorEastAsia" w:eastAsiaTheme="minorEastAsia" w:hAnsiTheme="minorEastAsia" w:hint="eastAsia"/>
          <w:szCs w:val="21"/>
        </w:rPr>
        <w:t>；</w:t>
      </w:r>
      <w:r w:rsidRPr="009B5984">
        <w:rPr>
          <w:rFonts w:asciiTheme="minorEastAsia" w:eastAsiaTheme="minorEastAsia" w:hAnsiTheme="minorEastAsia" w:hint="eastAsia"/>
          <w:szCs w:val="21"/>
        </w:rPr>
        <w:t>本次质押</w:t>
      </w:r>
      <w:r w:rsidR="009B5984" w:rsidRPr="009B5984">
        <w:rPr>
          <w:rFonts w:asciiTheme="minorEastAsia" w:eastAsiaTheme="minorEastAsia" w:hAnsiTheme="minorEastAsia" w:hint="eastAsia"/>
          <w:szCs w:val="21"/>
        </w:rPr>
        <w:t>展期</w:t>
      </w:r>
      <w:r w:rsidRPr="009B5984">
        <w:rPr>
          <w:rFonts w:asciiTheme="minorEastAsia" w:eastAsiaTheme="minorEastAsia" w:hAnsiTheme="minorEastAsia" w:hint="eastAsia"/>
          <w:szCs w:val="21"/>
        </w:rPr>
        <w:t>后，奋进投资累计质押股份为</w:t>
      </w:r>
      <w:r w:rsidRPr="009B5984">
        <w:rPr>
          <w:rFonts w:asciiTheme="minorEastAsia" w:eastAsiaTheme="minorEastAsia" w:hAnsiTheme="minorEastAsia" w:cs="宋体" w:hint="eastAsia"/>
          <w:color w:val="000000"/>
          <w:szCs w:val="21"/>
        </w:rPr>
        <w:t>63,566,000</w:t>
      </w:r>
      <w:r w:rsidRPr="009B5984">
        <w:rPr>
          <w:rFonts w:asciiTheme="minorEastAsia" w:eastAsiaTheme="minorEastAsia" w:hAnsiTheme="minorEastAsia" w:hint="eastAsia"/>
          <w:szCs w:val="21"/>
        </w:rPr>
        <w:t>股，占其所持公司股份的</w:t>
      </w:r>
      <w:r w:rsidRPr="009B5984">
        <w:rPr>
          <w:rFonts w:asciiTheme="minorEastAsia" w:eastAsiaTheme="minorEastAsia" w:hAnsiTheme="minorEastAsia" w:cs="宋体" w:hint="eastAsia"/>
          <w:color w:val="000000"/>
          <w:szCs w:val="21"/>
        </w:rPr>
        <w:t>52.55%，占公司总股本的7.31%。</w:t>
      </w:r>
    </w:p>
    <w:p w:rsidR="008A1761" w:rsidRPr="009F68BE" w:rsidRDefault="008A1761" w:rsidP="008A1761">
      <w:pPr>
        <w:pStyle w:val="Default"/>
        <w:snapToGrid w:val="0"/>
        <w:spacing w:beforeLines="100" w:before="316" w:line="360" w:lineRule="auto"/>
        <w:ind w:firstLineChars="200" w:firstLine="422"/>
        <w:rPr>
          <w:rFonts w:asciiTheme="minorEastAsia" w:eastAsiaTheme="minorEastAsia" w:hAnsiTheme="minorEastAsia"/>
          <w:b/>
          <w:sz w:val="21"/>
          <w:szCs w:val="21"/>
        </w:rPr>
      </w:pPr>
      <w:r w:rsidRPr="009F68BE">
        <w:rPr>
          <w:rFonts w:asciiTheme="minorEastAsia" w:eastAsiaTheme="minorEastAsia" w:hAnsiTheme="minorEastAsia" w:hint="eastAsia"/>
          <w:b/>
          <w:sz w:val="21"/>
          <w:szCs w:val="21"/>
        </w:rPr>
        <w:t>一、股东股份质押的基本情况</w:t>
      </w:r>
    </w:p>
    <w:p w:rsidR="00CD5D71" w:rsidRPr="009F68BE" w:rsidRDefault="008A1761" w:rsidP="008A1761">
      <w:pPr>
        <w:pStyle w:val="Default"/>
        <w:snapToGrid w:val="0"/>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公司</w:t>
      </w:r>
      <w:r w:rsidR="00CD5D71" w:rsidRPr="009F68BE">
        <w:rPr>
          <w:rFonts w:asciiTheme="minorEastAsia" w:eastAsiaTheme="minorEastAsia" w:hAnsiTheme="minorEastAsia"/>
          <w:color w:val="auto"/>
          <w:sz w:val="21"/>
          <w:szCs w:val="21"/>
        </w:rPr>
        <w:t>近日接到股东</w:t>
      </w:r>
      <w:r>
        <w:rPr>
          <w:rFonts w:asciiTheme="minorEastAsia" w:eastAsiaTheme="minorEastAsia" w:hAnsiTheme="minorEastAsia" w:hint="eastAsia"/>
          <w:color w:val="auto"/>
          <w:sz w:val="21"/>
          <w:szCs w:val="21"/>
        </w:rPr>
        <w:t>奋进投资</w:t>
      </w:r>
      <w:r w:rsidR="00CD5D71" w:rsidRPr="009F68BE">
        <w:rPr>
          <w:rFonts w:asciiTheme="minorEastAsia" w:eastAsiaTheme="minorEastAsia" w:hAnsiTheme="minorEastAsia"/>
          <w:color w:val="auto"/>
          <w:sz w:val="21"/>
          <w:szCs w:val="21"/>
        </w:rPr>
        <w:t>函告，获悉</w:t>
      </w:r>
      <w:r w:rsidR="0039254C" w:rsidRPr="009F68BE">
        <w:rPr>
          <w:rFonts w:asciiTheme="minorEastAsia" w:eastAsiaTheme="minorEastAsia" w:hAnsiTheme="minorEastAsia" w:hint="eastAsia"/>
          <w:color w:val="auto"/>
          <w:sz w:val="21"/>
          <w:szCs w:val="21"/>
        </w:rPr>
        <w:t>其</w:t>
      </w:r>
      <w:r w:rsidR="00EF02C2" w:rsidRPr="009F68BE">
        <w:rPr>
          <w:rFonts w:asciiTheme="minorEastAsia" w:eastAsiaTheme="minorEastAsia" w:hAnsiTheme="minorEastAsia" w:hint="eastAsia"/>
          <w:color w:val="auto"/>
          <w:sz w:val="21"/>
          <w:szCs w:val="21"/>
        </w:rPr>
        <w:t>所持有本公司的部分股份</w:t>
      </w:r>
      <w:r w:rsidR="003B4D79">
        <w:rPr>
          <w:rFonts w:asciiTheme="minorEastAsia" w:eastAsiaTheme="minorEastAsia" w:hAnsiTheme="minorEastAsia" w:hint="eastAsia"/>
          <w:color w:val="auto"/>
          <w:sz w:val="21"/>
          <w:szCs w:val="21"/>
        </w:rPr>
        <w:t>办理了质押展期</w:t>
      </w:r>
      <w:r w:rsidR="008A76E9" w:rsidRPr="009F68BE">
        <w:rPr>
          <w:rFonts w:asciiTheme="minorEastAsia" w:eastAsiaTheme="minorEastAsia" w:hAnsiTheme="minorEastAsia" w:hint="eastAsia"/>
          <w:color w:val="auto"/>
          <w:sz w:val="21"/>
          <w:szCs w:val="21"/>
        </w:rPr>
        <w:t>，</w:t>
      </w:r>
      <w:r w:rsidR="00CD5D71" w:rsidRPr="009F68BE">
        <w:rPr>
          <w:rFonts w:asciiTheme="minorEastAsia" w:eastAsiaTheme="minorEastAsia" w:hAnsiTheme="minorEastAsia"/>
          <w:color w:val="auto"/>
          <w:sz w:val="21"/>
          <w:szCs w:val="21"/>
        </w:rPr>
        <w:t>具体事项如下：</w:t>
      </w:r>
    </w:p>
    <w:p w:rsidR="00BA2A8B" w:rsidRPr="009F68BE" w:rsidRDefault="00BA2A8B" w:rsidP="0039254C">
      <w:pPr>
        <w:pStyle w:val="Default"/>
        <w:snapToGrid w:val="0"/>
        <w:spacing w:line="360" w:lineRule="auto"/>
        <w:ind w:firstLineChars="200" w:firstLine="422"/>
        <w:rPr>
          <w:rFonts w:asciiTheme="minorEastAsia" w:eastAsiaTheme="minorEastAsia" w:hAnsiTheme="minorEastAsia"/>
          <w:color w:val="auto"/>
          <w:sz w:val="21"/>
          <w:szCs w:val="21"/>
        </w:rPr>
      </w:pPr>
      <w:r w:rsidRPr="009F68BE">
        <w:rPr>
          <w:rFonts w:asciiTheme="minorEastAsia" w:eastAsiaTheme="minorEastAsia" w:hAnsiTheme="minorEastAsia"/>
          <w:b/>
          <w:sz w:val="21"/>
          <w:szCs w:val="21"/>
        </w:rPr>
        <w:t>1</w:t>
      </w:r>
      <w:r w:rsidRPr="009F68BE">
        <w:rPr>
          <w:rFonts w:asciiTheme="minorEastAsia" w:eastAsiaTheme="minorEastAsia" w:hAnsiTheme="minorEastAsia" w:hint="eastAsia"/>
          <w:b/>
          <w:sz w:val="21"/>
          <w:szCs w:val="21"/>
        </w:rPr>
        <w:t>、</w:t>
      </w:r>
      <w:r w:rsidR="009F68BE" w:rsidRPr="009F68BE">
        <w:rPr>
          <w:rFonts w:asciiTheme="minorEastAsia" w:eastAsiaTheme="minorEastAsia" w:hAnsiTheme="minorEastAsia" w:hint="eastAsia"/>
          <w:b/>
          <w:sz w:val="21"/>
          <w:szCs w:val="21"/>
        </w:rPr>
        <w:t>本次股份质押</w:t>
      </w:r>
      <w:r w:rsidR="003B4D79">
        <w:rPr>
          <w:rFonts w:asciiTheme="minorEastAsia" w:eastAsiaTheme="minorEastAsia" w:hAnsiTheme="minorEastAsia" w:hint="eastAsia"/>
          <w:b/>
          <w:sz w:val="21"/>
          <w:szCs w:val="21"/>
        </w:rPr>
        <w:t>展期</w:t>
      </w:r>
      <w:r w:rsidR="009F68BE" w:rsidRPr="009F68BE">
        <w:rPr>
          <w:rFonts w:asciiTheme="minorEastAsia" w:eastAsiaTheme="minorEastAsia" w:hAnsiTheme="minorEastAsia" w:hint="eastAsia"/>
          <w:b/>
          <w:sz w:val="21"/>
          <w:szCs w:val="21"/>
        </w:rPr>
        <w:t>基本情况</w:t>
      </w:r>
    </w:p>
    <w:tbl>
      <w:tblPr>
        <w:tblW w:w="1049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276"/>
        <w:gridCol w:w="992"/>
        <w:gridCol w:w="850"/>
        <w:gridCol w:w="709"/>
        <w:gridCol w:w="851"/>
        <w:gridCol w:w="850"/>
        <w:gridCol w:w="851"/>
        <w:gridCol w:w="851"/>
        <w:gridCol w:w="851"/>
        <w:gridCol w:w="850"/>
      </w:tblGrid>
      <w:tr w:rsidR="007E79CB" w:rsidRPr="009F68BE" w:rsidTr="007E79CB">
        <w:trPr>
          <w:cantSplit/>
          <w:trHeight w:val="1003"/>
        </w:trPr>
        <w:tc>
          <w:tcPr>
            <w:tcW w:w="709"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股东名称</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是否为控股股东</w:t>
            </w:r>
          </w:p>
        </w:tc>
        <w:tc>
          <w:tcPr>
            <w:tcW w:w="1276"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本次质押</w:t>
            </w:r>
            <w:r>
              <w:rPr>
                <w:rFonts w:asciiTheme="minorEastAsia" w:eastAsiaTheme="minorEastAsia" w:hAnsiTheme="minorEastAsia" w:cs="宋体" w:hint="eastAsia"/>
                <w:szCs w:val="21"/>
              </w:rPr>
              <w:t>展期</w:t>
            </w:r>
            <w:r w:rsidR="00F3202B">
              <w:rPr>
                <w:rFonts w:asciiTheme="minorEastAsia" w:eastAsiaTheme="minorEastAsia" w:hAnsiTheme="minorEastAsia" w:cs="宋体" w:hint="eastAsia"/>
                <w:szCs w:val="21"/>
              </w:rPr>
              <w:t>股份</w:t>
            </w:r>
            <w:r w:rsidRPr="009F68BE">
              <w:rPr>
                <w:rFonts w:asciiTheme="minorEastAsia" w:eastAsiaTheme="minorEastAsia" w:hAnsiTheme="minorEastAsia" w:cs="宋体" w:hint="eastAsia"/>
                <w:szCs w:val="21"/>
              </w:rPr>
              <w:t>数量（股）</w:t>
            </w:r>
          </w:p>
        </w:tc>
        <w:tc>
          <w:tcPr>
            <w:tcW w:w="992"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占其所持股份比例</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占公司总股本比例</w:t>
            </w:r>
          </w:p>
        </w:tc>
        <w:tc>
          <w:tcPr>
            <w:tcW w:w="709"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是否为限售股</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是否为补充质押</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质押起始日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原质押到期日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9F68BE" w:rsidRDefault="00093E6E" w:rsidP="007E79CB">
            <w:pPr>
              <w:spacing w:before="158" w:after="158" w:line="240" w:lineRule="auto"/>
              <w:jc w:val="center"/>
              <w:rPr>
                <w:rFonts w:asciiTheme="minorEastAsia" w:eastAsiaTheme="minorEastAsia" w:hAnsiTheme="minorEastAsia" w:cs="宋体"/>
                <w:szCs w:val="21"/>
              </w:rPr>
            </w:pPr>
            <w:r w:rsidRPr="00093E6E">
              <w:rPr>
                <w:rFonts w:asciiTheme="minorEastAsia" w:eastAsiaTheme="minorEastAsia" w:hAnsiTheme="minorEastAsia" w:cs="宋体" w:hint="eastAsia"/>
                <w:szCs w:val="21"/>
              </w:rPr>
              <w:t>展期后</w:t>
            </w:r>
            <w:r w:rsidR="007E79CB" w:rsidRPr="00093E6E">
              <w:rPr>
                <w:rFonts w:asciiTheme="minorEastAsia" w:eastAsiaTheme="minorEastAsia" w:hAnsiTheme="minorEastAsia" w:cs="宋体" w:hint="eastAsia"/>
                <w:szCs w:val="21"/>
              </w:rPr>
              <w:t>质押到期日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质权人</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9F68BE" w:rsidRDefault="007E79CB" w:rsidP="007E79CB">
            <w:pPr>
              <w:spacing w:before="158" w:after="158" w:line="240" w:lineRule="auto"/>
              <w:jc w:val="center"/>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质押用途</w:t>
            </w:r>
          </w:p>
        </w:tc>
      </w:tr>
      <w:tr w:rsidR="007E79CB" w:rsidRPr="009F68BE" w:rsidTr="007E79CB">
        <w:trPr>
          <w:cantSplit/>
          <w:trHeight w:val="1148"/>
        </w:trPr>
        <w:tc>
          <w:tcPr>
            <w:tcW w:w="709"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widowControl/>
              <w:spacing w:before="158" w:after="158" w:line="240" w:lineRule="auto"/>
              <w:jc w:val="center"/>
              <w:rPr>
                <w:rFonts w:ascii="宋体" w:hAnsi="宋体"/>
                <w:szCs w:val="21"/>
              </w:rPr>
            </w:pPr>
            <w:r w:rsidRPr="00707DB3">
              <w:rPr>
                <w:rFonts w:ascii="宋体" w:hAnsi="宋体" w:hint="eastAsia"/>
                <w:szCs w:val="21"/>
              </w:rPr>
              <w:t>奋进投资</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spacing w:before="158" w:after="158" w:line="240" w:lineRule="auto"/>
              <w:jc w:val="center"/>
              <w:rPr>
                <w:rFonts w:ascii="宋体" w:hAnsi="宋体"/>
                <w:szCs w:val="21"/>
              </w:rPr>
            </w:pPr>
            <w:r w:rsidRPr="00707DB3">
              <w:rPr>
                <w:rFonts w:ascii="宋体" w:hAnsi="宋体" w:hint="eastAsia"/>
                <w:szCs w:val="21"/>
              </w:rPr>
              <w:t>是</w:t>
            </w:r>
          </w:p>
        </w:tc>
        <w:tc>
          <w:tcPr>
            <w:tcW w:w="1276"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widowControl/>
              <w:spacing w:before="158" w:after="158" w:line="240" w:lineRule="auto"/>
              <w:jc w:val="center"/>
              <w:rPr>
                <w:rFonts w:ascii="宋体" w:hAnsi="宋体"/>
                <w:szCs w:val="21"/>
              </w:rPr>
            </w:pPr>
            <w:r w:rsidRPr="00707DB3">
              <w:rPr>
                <w:rFonts w:ascii="宋体" w:hAnsi="宋体"/>
                <w:szCs w:val="21"/>
              </w:rPr>
              <w:t>1</w:t>
            </w:r>
            <w:r>
              <w:rPr>
                <w:rFonts w:ascii="宋体" w:hAnsi="宋体"/>
                <w:szCs w:val="21"/>
              </w:rPr>
              <w:t>1</w:t>
            </w:r>
            <w:r w:rsidRPr="00707DB3">
              <w:rPr>
                <w:rFonts w:ascii="宋体" w:hAnsi="宋体"/>
                <w:szCs w:val="21"/>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7E79CB" w:rsidRPr="00707DB3" w:rsidRDefault="001540DB" w:rsidP="007E79CB">
            <w:pPr>
              <w:widowControl/>
              <w:spacing w:before="158" w:after="158" w:line="240" w:lineRule="auto"/>
              <w:jc w:val="center"/>
              <w:rPr>
                <w:rFonts w:ascii="宋体" w:hAnsi="宋体"/>
                <w:color w:val="000000"/>
                <w:szCs w:val="21"/>
              </w:rPr>
            </w:pPr>
            <w:r>
              <w:rPr>
                <w:rFonts w:ascii="宋体" w:hAnsi="宋体" w:hint="eastAsia"/>
                <w:color w:val="000000"/>
                <w:szCs w:val="21"/>
              </w:rPr>
              <w:t>9</w:t>
            </w:r>
            <w:r>
              <w:rPr>
                <w:rFonts w:ascii="宋体" w:hAnsi="宋体"/>
                <w:color w:val="000000"/>
                <w:szCs w:val="21"/>
              </w:rPr>
              <w:t>.09</w:t>
            </w:r>
            <w:r>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707DB3" w:rsidRDefault="001540DB" w:rsidP="00FF72EA">
            <w:pPr>
              <w:widowControl/>
              <w:spacing w:before="158" w:after="158" w:line="240" w:lineRule="auto"/>
              <w:jc w:val="center"/>
              <w:rPr>
                <w:rFonts w:ascii="宋体" w:hAnsi="宋体"/>
                <w:color w:val="000000"/>
                <w:szCs w:val="21"/>
              </w:rPr>
            </w:pPr>
            <w:r>
              <w:rPr>
                <w:rFonts w:ascii="宋体" w:hAnsi="宋体" w:hint="eastAsia"/>
                <w:color w:val="000000"/>
                <w:szCs w:val="21"/>
              </w:rPr>
              <w:t>1</w:t>
            </w:r>
            <w:r>
              <w:rPr>
                <w:rFonts w:ascii="宋体" w:hAnsi="宋体"/>
                <w:color w:val="000000"/>
                <w:szCs w:val="21"/>
              </w:rPr>
              <w:t>.</w:t>
            </w:r>
            <w:r w:rsidR="00FF72EA">
              <w:rPr>
                <w:rFonts w:ascii="宋体" w:hAnsi="宋体"/>
                <w:color w:val="000000"/>
                <w:szCs w:val="21"/>
              </w:rPr>
              <w:t>265</w:t>
            </w:r>
            <w:r>
              <w:rPr>
                <w:rFonts w:ascii="宋体" w:hAnsi="宋体" w:hint="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widowControl/>
              <w:spacing w:before="158" w:after="158" w:line="240" w:lineRule="auto"/>
              <w:jc w:val="center"/>
              <w:rPr>
                <w:rFonts w:ascii="宋体" w:hAnsi="宋体"/>
                <w:szCs w:val="21"/>
              </w:rPr>
            </w:pPr>
            <w:r w:rsidRPr="00707DB3">
              <w:rPr>
                <w:rFonts w:ascii="宋体" w:hAnsi="宋体" w:hint="eastAsia"/>
                <w:szCs w:val="21"/>
              </w:rPr>
              <w:t>否</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707DB3" w:rsidRDefault="00093E6E" w:rsidP="007E79CB">
            <w:pPr>
              <w:spacing w:before="158" w:after="158" w:line="240" w:lineRule="auto"/>
              <w:jc w:val="center"/>
              <w:rPr>
                <w:rFonts w:ascii="宋体" w:hAnsi="宋体" w:cs="宋体"/>
                <w:color w:val="000000"/>
                <w:szCs w:val="21"/>
              </w:rPr>
            </w:pPr>
            <w:r>
              <w:rPr>
                <w:rFonts w:ascii="宋体" w:hAnsi="宋体" w:cs="宋体" w:hint="eastAsia"/>
                <w:color w:val="000000"/>
                <w:szCs w:val="21"/>
              </w:rPr>
              <w:t>否</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w:t>
            </w:r>
            <w:r>
              <w:rPr>
                <w:rFonts w:ascii="宋体" w:hAnsi="宋体" w:cs="宋体"/>
                <w:color w:val="000000"/>
                <w:szCs w:val="21"/>
              </w:rPr>
              <w:t>19</w:t>
            </w:r>
            <w:r w:rsidRPr="00707DB3">
              <w:rPr>
                <w:rFonts w:ascii="宋体" w:hAnsi="宋体" w:cs="宋体" w:hint="eastAsia"/>
                <w:color w:val="000000"/>
                <w:szCs w:val="21"/>
              </w:rPr>
              <w:t>年7月</w:t>
            </w:r>
            <w:r>
              <w:rPr>
                <w:rFonts w:ascii="宋体" w:hAnsi="宋体" w:cs="宋体"/>
                <w:color w:val="000000"/>
                <w:szCs w:val="21"/>
              </w:rPr>
              <w:t>31</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A82391">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w:t>
            </w:r>
            <w:r>
              <w:rPr>
                <w:rFonts w:ascii="宋体" w:hAnsi="宋体" w:cs="宋体"/>
                <w:color w:val="000000"/>
                <w:szCs w:val="21"/>
              </w:rPr>
              <w:t>20</w:t>
            </w:r>
            <w:r w:rsidRPr="00707DB3">
              <w:rPr>
                <w:rFonts w:ascii="宋体" w:hAnsi="宋体" w:cs="宋体" w:hint="eastAsia"/>
                <w:color w:val="000000"/>
                <w:szCs w:val="21"/>
              </w:rPr>
              <w:t>年7月</w:t>
            </w:r>
            <w:r>
              <w:rPr>
                <w:rFonts w:ascii="宋体" w:hAnsi="宋体" w:cs="宋体"/>
                <w:color w:val="000000"/>
                <w:szCs w:val="21"/>
              </w:rPr>
              <w:t>3</w:t>
            </w:r>
            <w:r w:rsidR="00A82391">
              <w:rPr>
                <w:rFonts w:ascii="宋体" w:hAnsi="宋体" w:cs="宋体"/>
                <w:color w:val="000000"/>
                <w:szCs w:val="21"/>
              </w:rPr>
              <w:t>0</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A82391">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w:t>
            </w:r>
            <w:r>
              <w:rPr>
                <w:rFonts w:ascii="宋体" w:hAnsi="宋体" w:cs="宋体"/>
                <w:color w:val="000000"/>
                <w:szCs w:val="21"/>
              </w:rPr>
              <w:t>21</w:t>
            </w:r>
            <w:r w:rsidRPr="00707DB3">
              <w:rPr>
                <w:rFonts w:ascii="宋体" w:hAnsi="宋体" w:cs="宋体" w:hint="eastAsia"/>
                <w:color w:val="000000"/>
                <w:szCs w:val="21"/>
              </w:rPr>
              <w:t>年7月</w:t>
            </w:r>
            <w:r>
              <w:rPr>
                <w:rFonts w:ascii="宋体" w:hAnsi="宋体" w:cs="宋体"/>
                <w:color w:val="000000"/>
                <w:szCs w:val="21"/>
              </w:rPr>
              <w:t>3</w:t>
            </w:r>
            <w:r w:rsidR="00A82391">
              <w:rPr>
                <w:rFonts w:ascii="宋体" w:hAnsi="宋体" w:cs="宋体"/>
                <w:color w:val="000000"/>
                <w:szCs w:val="21"/>
              </w:rPr>
              <w:t>0</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中信证券股份有限公司</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707DB3" w:rsidRDefault="007E79CB" w:rsidP="007E79CB">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股权类投资和债权类投资</w:t>
            </w:r>
          </w:p>
        </w:tc>
      </w:tr>
      <w:tr w:rsidR="00093E6E" w:rsidRPr="009F68BE" w:rsidTr="007E79CB">
        <w:trPr>
          <w:cantSplit/>
          <w:trHeight w:val="461"/>
        </w:trPr>
        <w:tc>
          <w:tcPr>
            <w:tcW w:w="709" w:type="dxa"/>
            <w:tcBorders>
              <w:top w:val="single" w:sz="4" w:space="0" w:color="auto"/>
              <w:left w:val="single" w:sz="4" w:space="0" w:color="auto"/>
              <w:bottom w:val="single" w:sz="4" w:space="0" w:color="auto"/>
              <w:right w:val="single" w:sz="4" w:space="0" w:color="auto"/>
            </w:tcBorders>
            <w:vAlign w:val="center"/>
          </w:tcPr>
          <w:p w:rsidR="00093E6E" w:rsidRDefault="00093E6E" w:rsidP="00093E6E">
            <w:pPr>
              <w:widowControl/>
              <w:spacing w:before="158" w:after="158" w:line="240" w:lineRule="auto"/>
              <w:jc w:val="center"/>
              <w:rPr>
                <w:rFonts w:asciiTheme="minorEastAsia" w:eastAsiaTheme="minorEastAsia" w:hAnsiTheme="minorEastAsia"/>
                <w:szCs w:val="21"/>
              </w:rPr>
            </w:pPr>
            <w:r w:rsidRPr="00707DB3">
              <w:rPr>
                <w:rFonts w:ascii="宋体" w:hAnsi="宋体" w:hint="eastAsia"/>
                <w:szCs w:val="21"/>
              </w:rPr>
              <w:t>奋进投资</w:t>
            </w:r>
          </w:p>
        </w:tc>
        <w:tc>
          <w:tcPr>
            <w:tcW w:w="851"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spacing w:before="158" w:after="158" w:line="240" w:lineRule="auto"/>
              <w:jc w:val="center"/>
              <w:rPr>
                <w:rFonts w:ascii="宋体" w:hAnsi="宋体"/>
                <w:szCs w:val="21"/>
              </w:rPr>
            </w:pPr>
            <w:r w:rsidRPr="00707DB3">
              <w:rPr>
                <w:rFonts w:ascii="宋体" w:hAnsi="宋体" w:hint="eastAsia"/>
                <w:szCs w:val="21"/>
              </w:rPr>
              <w:t>是</w:t>
            </w:r>
          </w:p>
        </w:tc>
        <w:tc>
          <w:tcPr>
            <w:tcW w:w="1276"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widowControl/>
              <w:spacing w:before="158" w:after="158" w:line="240" w:lineRule="auto"/>
              <w:jc w:val="center"/>
              <w:rPr>
                <w:rFonts w:ascii="宋体" w:hAnsi="宋体"/>
                <w:szCs w:val="21"/>
              </w:rPr>
            </w:pPr>
            <w:r>
              <w:rPr>
                <w:rFonts w:ascii="宋体" w:hAnsi="宋体"/>
                <w:szCs w:val="21"/>
              </w:rPr>
              <w:t>1</w:t>
            </w:r>
            <w:r w:rsidRPr="00707DB3">
              <w:rPr>
                <w:rFonts w:ascii="宋体" w:hAnsi="宋体"/>
                <w:szCs w:val="21"/>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widowControl/>
              <w:spacing w:before="158" w:after="158" w:line="240" w:lineRule="auto"/>
              <w:jc w:val="center"/>
              <w:rPr>
                <w:rFonts w:ascii="宋体" w:hAnsi="宋体"/>
                <w:color w:val="000000"/>
                <w:szCs w:val="21"/>
              </w:rPr>
            </w:pPr>
            <w:r>
              <w:rPr>
                <w:rFonts w:ascii="宋体" w:hAnsi="宋体" w:hint="eastAsia"/>
                <w:color w:val="000000"/>
                <w:szCs w:val="21"/>
              </w:rPr>
              <w:t>0</w:t>
            </w:r>
            <w:r>
              <w:rPr>
                <w:rFonts w:ascii="宋体" w:hAnsi="宋体"/>
                <w:color w:val="000000"/>
                <w:szCs w:val="21"/>
              </w:rPr>
              <w:t>.83</w:t>
            </w:r>
            <w:r>
              <w:rPr>
                <w:rFonts w:ascii="宋体" w:hAnsi="宋体"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FF72EA">
            <w:pPr>
              <w:widowControl/>
              <w:spacing w:before="158" w:after="158" w:line="240" w:lineRule="auto"/>
              <w:jc w:val="center"/>
              <w:rPr>
                <w:rFonts w:ascii="宋体" w:hAnsi="宋体"/>
                <w:color w:val="000000"/>
                <w:szCs w:val="21"/>
              </w:rPr>
            </w:pPr>
            <w:r>
              <w:rPr>
                <w:rFonts w:ascii="宋体" w:hAnsi="宋体" w:hint="eastAsia"/>
                <w:color w:val="000000"/>
                <w:szCs w:val="21"/>
              </w:rPr>
              <w:t>0</w:t>
            </w:r>
            <w:r>
              <w:rPr>
                <w:rFonts w:ascii="宋体" w:hAnsi="宋体"/>
                <w:color w:val="000000"/>
                <w:szCs w:val="21"/>
              </w:rPr>
              <w:t>.</w:t>
            </w:r>
            <w:r w:rsidR="00FF72EA">
              <w:rPr>
                <w:rFonts w:ascii="宋体" w:hAnsi="宋体"/>
                <w:color w:val="000000"/>
                <w:szCs w:val="21"/>
              </w:rPr>
              <w:t>115</w:t>
            </w:r>
            <w:r>
              <w:rPr>
                <w:rFonts w:ascii="宋体" w:hAnsi="宋体" w:hint="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widowControl/>
              <w:spacing w:before="158" w:after="158" w:line="240" w:lineRule="auto"/>
              <w:jc w:val="center"/>
              <w:rPr>
                <w:rFonts w:ascii="宋体" w:hAnsi="宋体"/>
                <w:szCs w:val="21"/>
              </w:rPr>
            </w:pPr>
            <w:r w:rsidRPr="00707DB3">
              <w:rPr>
                <w:rFonts w:ascii="宋体" w:hAnsi="宋体" w:hint="eastAsia"/>
                <w:szCs w:val="21"/>
              </w:rPr>
              <w:t>否</w:t>
            </w:r>
          </w:p>
        </w:tc>
        <w:tc>
          <w:tcPr>
            <w:tcW w:w="851"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spacing w:before="158" w:after="158" w:line="240" w:lineRule="auto"/>
              <w:jc w:val="center"/>
              <w:rPr>
                <w:rFonts w:ascii="宋体" w:hAnsi="宋体" w:cs="宋体"/>
                <w:color w:val="000000"/>
                <w:szCs w:val="21"/>
              </w:rPr>
            </w:pPr>
            <w:r>
              <w:rPr>
                <w:rFonts w:ascii="宋体" w:hAnsi="宋体" w:cs="宋体"/>
                <w:color w:val="000000"/>
                <w:szCs w:val="21"/>
              </w:rPr>
              <w:t>2020</w:t>
            </w:r>
            <w:r w:rsidRPr="00707DB3">
              <w:rPr>
                <w:rFonts w:ascii="宋体" w:hAnsi="宋体" w:cs="宋体" w:hint="eastAsia"/>
                <w:color w:val="000000"/>
                <w:szCs w:val="21"/>
              </w:rPr>
              <w:t>年7月</w:t>
            </w:r>
            <w:r>
              <w:rPr>
                <w:rFonts w:ascii="宋体" w:hAnsi="宋体" w:cs="宋体"/>
                <w:color w:val="000000"/>
                <w:szCs w:val="21"/>
              </w:rPr>
              <w:t>21</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A82391">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w:t>
            </w:r>
            <w:r>
              <w:rPr>
                <w:rFonts w:ascii="宋体" w:hAnsi="宋体" w:cs="宋体"/>
                <w:color w:val="000000"/>
                <w:szCs w:val="21"/>
              </w:rPr>
              <w:t>20</w:t>
            </w:r>
            <w:r w:rsidRPr="00707DB3">
              <w:rPr>
                <w:rFonts w:ascii="宋体" w:hAnsi="宋体" w:cs="宋体" w:hint="eastAsia"/>
                <w:color w:val="000000"/>
                <w:szCs w:val="21"/>
              </w:rPr>
              <w:t>年7月</w:t>
            </w:r>
            <w:r>
              <w:rPr>
                <w:rFonts w:ascii="宋体" w:hAnsi="宋体" w:cs="宋体"/>
                <w:color w:val="000000"/>
                <w:szCs w:val="21"/>
              </w:rPr>
              <w:t>3</w:t>
            </w:r>
            <w:r w:rsidR="00A82391">
              <w:rPr>
                <w:rFonts w:ascii="宋体" w:hAnsi="宋体" w:cs="宋体"/>
                <w:color w:val="000000"/>
                <w:szCs w:val="21"/>
              </w:rPr>
              <w:t>0</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A82391">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2</w:t>
            </w:r>
            <w:r w:rsidRPr="00707DB3">
              <w:rPr>
                <w:rFonts w:ascii="宋体" w:hAnsi="宋体" w:cs="宋体"/>
                <w:color w:val="000000"/>
                <w:szCs w:val="21"/>
              </w:rPr>
              <w:t>0</w:t>
            </w:r>
            <w:r>
              <w:rPr>
                <w:rFonts w:ascii="宋体" w:hAnsi="宋体" w:cs="宋体"/>
                <w:color w:val="000000"/>
                <w:szCs w:val="21"/>
              </w:rPr>
              <w:t>21</w:t>
            </w:r>
            <w:r w:rsidRPr="00707DB3">
              <w:rPr>
                <w:rFonts w:ascii="宋体" w:hAnsi="宋体" w:cs="宋体" w:hint="eastAsia"/>
                <w:color w:val="000000"/>
                <w:szCs w:val="21"/>
              </w:rPr>
              <w:t>年7月</w:t>
            </w:r>
            <w:r>
              <w:rPr>
                <w:rFonts w:ascii="宋体" w:hAnsi="宋体" w:cs="宋体"/>
                <w:color w:val="000000"/>
                <w:szCs w:val="21"/>
              </w:rPr>
              <w:t>3</w:t>
            </w:r>
            <w:r w:rsidR="00A82391">
              <w:rPr>
                <w:rFonts w:ascii="宋体" w:hAnsi="宋体" w:cs="宋体"/>
                <w:color w:val="000000"/>
                <w:szCs w:val="21"/>
              </w:rPr>
              <w:t>0</w:t>
            </w:r>
            <w:r w:rsidRPr="00707DB3">
              <w:rPr>
                <w:rFonts w:ascii="宋体" w:hAnsi="宋体" w:cs="宋体" w:hint="eastAsia"/>
                <w:color w:val="000000"/>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中信证券股份有限公司</w:t>
            </w:r>
          </w:p>
        </w:tc>
        <w:tc>
          <w:tcPr>
            <w:tcW w:w="850" w:type="dxa"/>
            <w:tcBorders>
              <w:top w:val="single" w:sz="4" w:space="0" w:color="auto"/>
              <w:left w:val="single" w:sz="4" w:space="0" w:color="auto"/>
              <w:bottom w:val="single" w:sz="4" w:space="0" w:color="auto"/>
              <w:right w:val="single" w:sz="4" w:space="0" w:color="auto"/>
            </w:tcBorders>
            <w:vAlign w:val="center"/>
          </w:tcPr>
          <w:p w:rsidR="00093E6E" w:rsidRPr="00707DB3" w:rsidRDefault="00093E6E" w:rsidP="00093E6E">
            <w:pPr>
              <w:spacing w:before="158" w:after="158" w:line="240" w:lineRule="auto"/>
              <w:jc w:val="center"/>
              <w:rPr>
                <w:rFonts w:ascii="宋体" w:hAnsi="宋体" w:cs="宋体"/>
                <w:color w:val="000000"/>
                <w:szCs w:val="21"/>
              </w:rPr>
            </w:pPr>
            <w:r w:rsidRPr="00707DB3">
              <w:rPr>
                <w:rFonts w:ascii="宋体" w:hAnsi="宋体" w:cs="宋体" w:hint="eastAsia"/>
                <w:color w:val="000000"/>
                <w:szCs w:val="21"/>
              </w:rPr>
              <w:t>股权类投资和债权类投资</w:t>
            </w:r>
          </w:p>
        </w:tc>
      </w:tr>
      <w:tr w:rsidR="007E79CB" w:rsidRPr="009F68BE" w:rsidTr="007E79CB">
        <w:trPr>
          <w:cantSplit/>
          <w:trHeight w:val="461"/>
        </w:trPr>
        <w:tc>
          <w:tcPr>
            <w:tcW w:w="709" w:type="dxa"/>
            <w:tcBorders>
              <w:top w:val="single" w:sz="4" w:space="0" w:color="auto"/>
              <w:left w:val="single" w:sz="4" w:space="0" w:color="auto"/>
              <w:bottom w:val="single" w:sz="4" w:space="0" w:color="auto"/>
              <w:right w:val="single" w:sz="4" w:space="0" w:color="auto"/>
            </w:tcBorders>
            <w:vAlign w:val="center"/>
          </w:tcPr>
          <w:p w:rsidR="007E79CB" w:rsidRPr="00112B52" w:rsidRDefault="007E79CB" w:rsidP="007E79CB">
            <w:pPr>
              <w:widowControl/>
              <w:spacing w:before="158" w:after="158" w:line="240" w:lineRule="auto"/>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851"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E79CB" w:rsidRPr="004E7DA3" w:rsidRDefault="00FF72EA" w:rsidP="007E79CB">
            <w:pPr>
              <w:widowControl/>
              <w:spacing w:before="158" w:after="158" w:line="240" w:lineRule="auto"/>
              <w:jc w:val="center"/>
              <w:rPr>
                <w:rFonts w:asciiTheme="minorEastAsia" w:eastAsiaTheme="minorEastAsia" w:hAnsiTheme="minorEastAsia"/>
                <w:szCs w:val="21"/>
              </w:rPr>
            </w:pPr>
            <w:r>
              <w:rPr>
                <w:rFonts w:ascii="宋体" w:hAnsi="宋体"/>
                <w:szCs w:val="21"/>
              </w:rPr>
              <w:t>12</w:t>
            </w:r>
            <w:r w:rsidR="007E79CB" w:rsidRPr="00707DB3">
              <w:rPr>
                <w:rFonts w:ascii="宋体" w:hAnsi="宋体"/>
                <w:szCs w:val="21"/>
              </w:rPr>
              <w:t>,000,000</w:t>
            </w:r>
          </w:p>
        </w:tc>
        <w:tc>
          <w:tcPr>
            <w:tcW w:w="992" w:type="dxa"/>
            <w:tcBorders>
              <w:top w:val="single" w:sz="4" w:space="0" w:color="auto"/>
              <w:left w:val="single" w:sz="4" w:space="0" w:color="auto"/>
              <w:bottom w:val="single" w:sz="4" w:space="0" w:color="auto"/>
              <w:right w:val="single" w:sz="4" w:space="0" w:color="auto"/>
            </w:tcBorders>
            <w:vAlign w:val="center"/>
          </w:tcPr>
          <w:p w:rsidR="007E79CB" w:rsidRPr="004E7DA3" w:rsidRDefault="00093E6E" w:rsidP="007E79CB">
            <w:pPr>
              <w:widowControl/>
              <w:spacing w:before="158" w:after="158" w:line="24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.92</w:t>
            </w:r>
            <w:r>
              <w:rPr>
                <w:rFonts w:asciiTheme="minorEastAsia" w:eastAsiaTheme="minorEastAsia" w:hAnsiTheme="minorEastAsia" w:hint="eastAsia"/>
                <w:color w:val="00000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7E79CB" w:rsidRPr="004E7DA3" w:rsidRDefault="00093E6E" w:rsidP="007E79CB">
            <w:pPr>
              <w:widowControl/>
              <w:spacing w:before="158" w:after="158" w:line="24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.38</w:t>
            </w:r>
            <w:r>
              <w:rPr>
                <w:rFonts w:asciiTheme="minorEastAsia" w:eastAsiaTheme="minorEastAsia" w:hAnsiTheme="minorEastAsia" w:hint="eastAsia"/>
                <w:color w:val="00000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7E79CB" w:rsidRPr="004E7DA3" w:rsidRDefault="007E79CB" w:rsidP="007E79CB">
            <w:pPr>
              <w:widowControl/>
              <w:spacing w:before="158" w:after="158" w:line="240" w:lineRule="auto"/>
              <w:jc w:val="center"/>
              <w:rPr>
                <w:rFonts w:asciiTheme="minorEastAsia" w:eastAsia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E79CB" w:rsidRDefault="007E79CB" w:rsidP="007E79CB">
            <w:pPr>
              <w:spacing w:before="158" w:after="158" w:line="240" w:lineRule="auto"/>
              <w:jc w:val="center"/>
              <w:rPr>
                <w:rFonts w:asciiTheme="minorEastAsia" w:eastAsiaTheme="minorEastAsia" w:hAnsiTheme="minorEastAsia" w:cs="宋体"/>
                <w:color w:val="000000"/>
                <w:szCs w:val="21"/>
              </w:rPr>
            </w:pPr>
          </w:p>
        </w:tc>
      </w:tr>
    </w:tbl>
    <w:p w:rsidR="00FC0509" w:rsidRDefault="00FC0509" w:rsidP="0039254C">
      <w:pPr>
        <w:pStyle w:val="Default"/>
        <w:snapToGrid w:val="0"/>
        <w:spacing w:beforeLines="100" w:before="316" w:line="360" w:lineRule="auto"/>
        <w:ind w:firstLineChars="200" w:firstLine="420"/>
        <w:rPr>
          <w:rFonts w:asciiTheme="minorEastAsia" w:eastAsiaTheme="minorEastAsia" w:hAnsiTheme="minorEastAsia" w:cs="仿宋"/>
          <w:sz w:val="21"/>
          <w:szCs w:val="21"/>
        </w:rPr>
      </w:pPr>
      <w:r w:rsidRPr="00FC0509">
        <w:rPr>
          <w:rFonts w:asciiTheme="minorEastAsia" w:eastAsiaTheme="minorEastAsia" w:hAnsiTheme="minorEastAsia" w:cs="仿宋" w:hint="eastAsia"/>
          <w:sz w:val="21"/>
          <w:szCs w:val="21"/>
        </w:rPr>
        <w:t>奋进投资本次质押</w:t>
      </w:r>
      <w:r w:rsidR="00C868DE">
        <w:rPr>
          <w:rFonts w:asciiTheme="minorEastAsia" w:eastAsiaTheme="minorEastAsia" w:hAnsiTheme="minorEastAsia" w:cs="仿宋" w:hint="eastAsia"/>
          <w:sz w:val="21"/>
          <w:szCs w:val="21"/>
        </w:rPr>
        <w:t>展期</w:t>
      </w:r>
      <w:r w:rsidRPr="00FC0509">
        <w:rPr>
          <w:rFonts w:asciiTheme="minorEastAsia" w:eastAsiaTheme="minorEastAsia" w:hAnsiTheme="minorEastAsia" w:cs="仿宋" w:hint="eastAsia"/>
          <w:sz w:val="21"/>
          <w:szCs w:val="21"/>
        </w:rPr>
        <w:t>涉及的股份不涉及用作重大资产重组业绩补偿等事项的担保或其他保障用途。</w:t>
      </w:r>
    </w:p>
    <w:p w:rsidR="00CD5D71" w:rsidRPr="009F68BE" w:rsidRDefault="004E7DA3" w:rsidP="0039254C">
      <w:pPr>
        <w:pStyle w:val="Default"/>
        <w:snapToGrid w:val="0"/>
        <w:spacing w:beforeLines="100" w:before="316" w:line="360" w:lineRule="auto"/>
        <w:ind w:firstLineChars="200" w:firstLine="422"/>
        <w:rPr>
          <w:rFonts w:asciiTheme="minorEastAsia" w:eastAsiaTheme="minorEastAsia" w:hAnsiTheme="minorEastAsia"/>
          <w:b/>
          <w:bCs/>
          <w:color w:val="auto"/>
          <w:sz w:val="21"/>
          <w:szCs w:val="21"/>
        </w:rPr>
      </w:pPr>
      <w:r>
        <w:rPr>
          <w:rFonts w:asciiTheme="minorEastAsia" w:eastAsiaTheme="minorEastAsia" w:hAnsiTheme="minorEastAsia"/>
          <w:b/>
          <w:bCs/>
          <w:color w:val="auto"/>
          <w:sz w:val="21"/>
          <w:szCs w:val="21"/>
        </w:rPr>
        <w:lastRenderedPageBreak/>
        <w:t>2</w:t>
      </w:r>
      <w:r w:rsidR="00CD5D71" w:rsidRPr="009F68BE">
        <w:rPr>
          <w:rFonts w:asciiTheme="minorEastAsia" w:eastAsiaTheme="minorEastAsia" w:hAnsiTheme="minorEastAsia" w:hint="eastAsia"/>
          <w:b/>
          <w:bCs/>
          <w:color w:val="auto"/>
          <w:sz w:val="21"/>
          <w:szCs w:val="21"/>
        </w:rPr>
        <w:t>、股东股份累计质押情况</w:t>
      </w:r>
    </w:p>
    <w:p w:rsidR="00D21F05" w:rsidRPr="009F68BE" w:rsidRDefault="009F68BE" w:rsidP="0039254C">
      <w:pPr>
        <w:widowControl/>
        <w:snapToGrid w:val="0"/>
        <w:spacing w:beforeLines="0" w:afterLines="0"/>
        <w:ind w:firstLineChars="200" w:firstLine="420"/>
        <w:jc w:val="left"/>
        <w:rPr>
          <w:rFonts w:asciiTheme="minorEastAsia" w:eastAsiaTheme="minorEastAsia" w:hAnsiTheme="minorEastAsia" w:cs="宋体"/>
          <w:color w:val="000000"/>
          <w:szCs w:val="21"/>
        </w:rPr>
      </w:pPr>
      <w:r w:rsidRPr="009F68BE">
        <w:rPr>
          <w:rFonts w:asciiTheme="minorEastAsia" w:eastAsiaTheme="minorEastAsia" w:hAnsiTheme="minorEastAsia" w:cs="宋体" w:hint="eastAsia"/>
          <w:color w:val="000000"/>
          <w:szCs w:val="21"/>
        </w:rPr>
        <w:t>截至公告披露日，上述股东及其一致行动人所持质押股份情况如下：</w:t>
      </w:r>
    </w:p>
    <w:tbl>
      <w:tblPr>
        <w:tblStyle w:val="ac"/>
        <w:tblW w:w="10773" w:type="dxa"/>
        <w:tblInd w:w="-1026" w:type="dxa"/>
        <w:tblLook w:val="04A0" w:firstRow="1" w:lastRow="0" w:firstColumn="1" w:lastColumn="0" w:noHBand="0" w:noVBand="1"/>
      </w:tblPr>
      <w:tblGrid>
        <w:gridCol w:w="708"/>
        <w:gridCol w:w="1419"/>
        <w:gridCol w:w="850"/>
        <w:gridCol w:w="1276"/>
        <w:gridCol w:w="1276"/>
        <w:gridCol w:w="992"/>
        <w:gridCol w:w="850"/>
        <w:gridCol w:w="851"/>
        <w:gridCol w:w="850"/>
        <w:gridCol w:w="851"/>
        <w:gridCol w:w="850"/>
      </w:tblGrid>
      <w:tr w:rsidR="007210C8" w:rsidRPr="007210C8" w:rsidTr="006C276C">
        <w:tc>
          <w:tcPr>
            <w:tcW w:w="708"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股东名称</w:t>
            </w:r>
          </w:p>
        </w:tc>
        <w:tc>
          <w:tcPr>
            <w:tcW w:w="1419"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持股数量</w:t>
            </w:r>
          </w:p>
        </w:tc>
        <w:tc>
          <w:tcPr>
            <w:tcW w:w="850"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持股比例</w:t>
            </w:r>
          </w:p>
        </w:tc>
        <w:tc>
          <w:tcPr>
            <w:tcW w:w="1276"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本次质押前质押股份数量</w:t>
            </w:r>
          </w:p>
        </w:tc>
        <w:tc>
          <w:tcPr>
            <w:tcW w:w="1276"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本次质押后质押股份数量</w:t>
            </w:r>
          </w:p>
        </w:tc>
        <w:tc>
          <w:tcPr>
            <w:tcW w:w="992" w:type="dxa"/>
            <w:vMerge w:val="restart"/>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占所持股份比例</w:t>
            </w:r>
          </w:p>
        </w:tc>
        <w:tc>
          <w:tcPr>
            <w:tcW w:w="850" w:type="dxa"/>
            <w:vMerge w:val="restart"/>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占</w:t>
            </w:r>
            <w:r w:rsidR="009F68BE" w:rsidRPr="007210C8">
              <w:rPr>
                <w:rFonts w:ascii="宋体" w:hAnsi="宋体" w:cs="宋体" w:hint="eastAsia"/>
                <w:color w:val="000000"/>
                <w:szCs w:val="21"/>
              </w:rPr>
              <w:t>公司总股本比例</w:t>
            </w:r>
          </w:p>
        </w:tc>
        <w:tc>
          <w:tcPr>
            <w:tcW w:w="1701" w:type="dxa"/>
            <w:gridSpan w:val="2"/>
            <w:vAlign w:val="center"/>
          </w:tcPr>
          <w:p w:rsidR="009F68BE" w:rsidRPr="007210C8" w:rsidRDefault="009F68BE"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已质押股份情况</w:t>
            </w:r>
          </w:p>
        </w:tc>
        <w:tc>
          <w:tcPr>
            <w:tcW w:w="1701" w:type="dxa"/>
            <w:gridSpan w:val="2"/>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未质押股份情况</w:t>
            </w:r>
          </w:p>
        </w:tc>
      </w:tr>
      <w:tr w:rsidR="007210C8" w:rsidRPr="007210C8" w:rsidTr="006C276C">
        <w:tc>
          <w:tcPr>
            <w:tcW w:w="708"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419"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0"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276"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1276"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992"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0" w:type="dxa"/>
            <w:vMerge/>
            <w:vAlign w:val="center"/>
          </w:tcPr>
          <w:p w:rsidR="009F68BE" w:rsidRPr="007210C8" w:rsidRDefault="009F68BE" w:rsidP="0083289E">
            <w:pPr>
              <w:widowControl/>
              <w:snapToGrid w:val="0"/>
              <w:spacing w:beforeLines="0" w:afterLines="0"/>
              <w:jc w:val="center"/>
              <w:rPr>
                <w:rFonts w:ascii="宋体" w:hAnsi="宋体" w:cs="宋体"/>
                <w:color w:val="000000"/>
                <w:szCs w:val="21"/>
              </w:rPr>
            </w:pPr>
          </w:p>
        </w:tc>
        <w:tc>
          <w:tcPr>
            <w:tcW w:w="851"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已质押股份限售和冻结数量</w:t>
            </w:r>
          </w:p>
        </w:tc>
        <w:tc>
          <w:tcPr>
            <w:tcW w:w="850"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占已质押股份比例</w:t>
            </w:r>
          </w:p>
        </w:tc>
        <w:tc>
          <w:tcPr>
            <w:tcW w:w="851"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未质押股份限售和冻结数量</w:t>
            </w:r>
          </w:p>
        </w:tc>
        <w:tc>
          <w:tcPr>
            <w:tcW w:w="850" w:type="dxa"/>
            <w:vAlign w:val="center"/>
          </w:tcPr>
          <w:p w:rsidR="009F68BE" w:rsidRPr="007210C8" w:rsidRDefault="009F68BE" w:rsidP="0083289E">
            <w:pPr>
              <w:autoSpaceDE w:val="0"/>
              <w:autoSpaceDN w:val="0"/>
              <w:adjustRightInd w:val="0"/>
              <w:spacing w:beforeLines="0" w:afterLines="0"/>
              <w:jc w:val="center"/>
              <w:rPr>
                <w:rFonts w:ascii="宋体" w:hAnsi="宋体" w:cs="仿宋"/>
                <w:szCs w:val="21"/>
              </w:rPr>
            </w:pPr>
            <w:r w:rsidRPr="007210C8">
              <w:rPr>
                <w:rFonts w:ascii="宋体" w:hAnsi="宋体" w:cs="仿宋" w:hint="eastAsia"/>
                <w:szCs w:val="21"/>
              </w:rPr>
              <w:t>占未质押股份比例</w:t>
            </w:r>
          </w:p>
        </w:tc>
      </w:tr>
      <w:tr w:rsidR="007210C8" w:rsidRPr="007210C8" w:rsidTr="006C276C">
        <w:tc>
          <w:tcPr>
            <w:tcW w:w="708" w:type="dxa"/>
            <w:vAlign w:val="center"/>
          </w:tcPr>
          <w:p w:rsidR="009F68BE" w:rsidRPr="007210C8" w:rsidRDefault="00736224" w:rsidP="0083289E">
            <w:pPr>
              <w:widowControl/>
              <w:snapToGrid w:val="0"/>
              <w:spacing w:beforeLines="0" w:afterLines="0"/>
              <w:jc w:val="center"/>
              <w:rPr>
                <w:rFonts w:ascii="宋体" w:hAnsi="宋体" w:cs="宋体"/>
                <w:color w:val="000000"/>
                <w:szCs w:val="21"/>
              </w:rPr>
            </w:pPr>
            <w:r>
              <w:rPr>
                <w:rFonts w:ascii="宋体" w:hAnsi="宋体" w:cs="宋体" w:hint="eastAsia"/>
                <w:color w:val="000000"/>
                <w:szCs w:val="21"/>
              </w:rPr>
              <w:t>奋进投资</w:t>
            </w:r>
          </w:p>
        </w:tc>
        <w:tc>
          <w:tcPr>
            <w:tcW w:w="1419" w:type="dxa"/>
            <w:vAlign w:val="center"/>
          </w:tcPr>
          <w:p w:rsidR="009F68BE" w:rsidRPr="007210C8" w:rsidRDefault="004E7DA3"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120,960,000</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13.92%</w:t>
            </w:r>
          </w:p>
        </w:tc>
        <w:tc>
          <w:tcPr>
            <w:tcW w:w="1276" w:type="dxa"/>
            <w:vAlign w:val="center"/>
          </w:tcPr>
          <w:p w:rsidR="009F68BE" w:rsidRPr="007210C8" w:rsidRDefault="00995ED7"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1276"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992"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52.55%</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7.31%</w:t>
            </w:r>
          </w:p>
        </w:tc>
        <w:tc>
          <w:tcPr>
            <w:tcW w:w="851"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sidR="00E22526">
              <w:rPr>
                <w:rFonts w:ascii="宋体" w:hAnsi="宋体" w:cs="宋体" w:hint="eastAsia"/>
                <w:color w:val="000000"/>
                <w:szCs w:val="21"/>
              </w:rPr>
              <w:t>%</w:t>
            </w:r>
          </w:p>
        </w:tc>
        <w:tc>
          <w:tcPr>
            <w:tcW w:w="851" w:type="dxa"/>
            <w:vAlign w:val="center"/>
          </w:tcPr>
          <w:p w:rsidR="009F68BE" w:rsidRPr="007210C8" w:rsidRDefault="007210C8"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9F68BE"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r>
      <w:tr w:rsidR="00383B3A" w:rsidRPr="007210C8" w:rsidTr="006C276C">
        <w:trPr>
          <w:trHeight w:val="449"/>
        </w:trPr>
        <w:tc>
          <w:tcPr>
            <w:tcW w:w="708"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合计</w:t>
            </w:r>
          </w:p>
        </w:tc>
        <w:tc>
          <w:tcPr>
            <w:tcW w:w="1419"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120,960,000</w:t>
            </w:r>
          </w:p>
        </w:tc>
        <w:tc>
          <w:tcPr>
            <w:tcW w:w="850"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13.92%</w:t>
            </w:r>
          </w:p>
        </w:tc>
        <w:tc>
          <w:tcPr>
            <w:tcW w:w="1276" w:type="dxa"/>
            <w:vAlign w:val="center"/>
          </w:tcPr>
          <w:p w:rsidR="00383B3A" w:rsidRPr="007210C8" w:rsidRDefault="00995ED7"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1276"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63,566,000</w:t>
            </w:r>
          </w:p>
        </w:tc>
        <w:tc>
          <w:tcPr>
            <w:tcW w:w="992"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52.55%</w:t>
            </w:r>
          </w:p>
        </w:tc>
        <w:tc>
          <w:tcPr>
            <w:tcW w:w="850"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color w:val="000000"/>
                <w:szCs w:val="21"/>
              </w:rPr>
              <w:t>7.31%</w:t>
            </w:r>
          </w:p>
        </w:tc>
        <w:tc>
          <w:tcPr>
            <w:tcW w:w="851"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383B3A"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c>
          <w:tcPr>
            <w:tcW w:w="851" w:type="dxa"/>
            <w:vAlign w:val="center"/>
          </w:tcPr>
          <w:p w:rsidR="00383B3A" w:rsidRPr="007210C8" w:rsidRDefault="00383B3A"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p>
        </w:tc>
        <w:tc>
          <w:tcPr>
            <w:tcW w:w="850" w:type="dxa"/>
            <w:vAlign w:val="center"/>
          </w:tcPr>
          <w:p w:rsidR="00383B3A" w:rsidRPr="007210C8" w:rsidRDefault="00E22526" w:rsidP="0083289E">
            <w:pPr>
              <w:widowControl/>
              <w:snapToGrid w:val="0"/>
              <w:spacing w:beforeLines="0" w:afterLines="0"/>
              <w:jc w:val="center"/>
              <w:rPr>
                <w:rFonts w:ascii="宋体" w:hAnsi="宋体" w:cs="宋体"/>
                <w:color w:val="000000"/>
                <w:szCs w:val="21"/>
              </w:rPr>
            </w:pPr>
            <w:r w:rsidRPr="007210C8">
              <w:rPr>
                <w:rFonts w:ascii="宋体" w:hAnsi="宋体" w:cs="宋体" w:hint="eastAsia"/>
                <w:color w:val="000000"/>
                <w:szCs w:val="21"/>
              </w:rPr>
              <w:t>0</w:t>
            </w:r>
            <w:r>
              <w:rPr>
                <w:rFonts w:ascii="宋体" w:hAnsi="宋体" w:cs="宋体" w:hint="eastAsia"/>
                <w:color w:val="000000"/>
                <w:szCs w:val="21"/>
              </w:rPr>
              <w:t>%</w:t>
            </w:r>
          </w:p>
        </w:tc>
      </w:tr>
    </w:tbl>
    <w:p w:rsidR="009F68BE" w:rsidRPr="00746AFA" w:rsidRDefault="00637F8E" w:rsidP="00746AFA">
      <w:pPr>
        <w:pStyle w:val="Default"/>
        <w:snapToGrid w:val="0"/>
        <w:spacing w:beforeLines="50" w:before="158" w:line="360" w:lineRule="auto"/>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sidR="009F68BE" w:rsidRPr="004E7DA3">
        <w:rPr>
          <w:rFonts w:asciiTheme="minorEastAsia" w:eastAsiaTheme="minorEastAsia" w:hAnsiTheme="minorEastAsia" w:hint="eastAsia"/>
          <w:b/>
          <w:sz w:val="21"/>
          <w:szCs w:val="21"/>
        </w:rPr>
        <w:t>控股股东股份质押情况</w:t>
      </w:r>
    </w:p>
    <w:p w:rsidR="00E55DB8" w:rsidRPr="00F3202B" w:rsidRDefault="00637F8E" w:rsidP="00F3202B">
      <w:pPr>
        <w:widowControl/>
        <w:adjustRightInd w:val="0"/>
        <w:snapToGrid w:val="0"/>
        <w:spacing w:beforeLines="0" w:afterLines="0"/>
        <w:ind w:firstLineChars="200" w:firstLine="420"/>
        <w:jc w:val="left"/>
        <w:rPr>
          <w:rFonts w:ascii="宋体" w:hAnsi="宋体"/>
          <w:szCs w:val="21"/>
        </w:rPr>
      </w:pPr>
      <w:r w:rsidRPr="00F3202B">
        <w:rPr>
          <w:rFonts w:ascii="宋体" w:hAnsi="宋体" w:hint="eastAsia"/>
          <w:szCs w:val="21"/>
        </w:rPr>
        <w:t>1、</w:t>
      </w:r>
      <w:r w:rsidR="00F3202B" w:rsidRPr="00F3202B">
        <w:rPr>
          <w:rFonts w:ascii="宋体" w:hAnsi="宋体" w:hint="eastAsia"/>
          <w:szCs w:val="21"/>
        </w:rPr>
        <w:t>本次质押是原有股份质押的展期。尚未产生新的股份质押，</w:t>
      </w:r>
      <w:r w:rsidR="00F3202B">
        <w:rPr>
          <w:rFonts w:ascii="宋体" w:hAnsi="宋体" w:hint="eastAsia"/>
          <w:szCs w:val="21"/>
        </w:rPr>
        <w:t>不涉及新增融资安排</w:t>
      </w:r>
      <w:r w:rsidR="00F3202B" w:rsidRPr="00F3202B">
        <w:rPr>
          <w:rFonts w:ascii="宋体" w:hAnsi="宋体" w:hint="eastAsia"/>
          <w:szCs w:val="21"/>
        </w:rPr>
        <w:t>；</w:t>
      </w:r>
      <w:r w:rsidR="00E55DB8" w:rsidRPr="00F3202B">
        <w:rPr>
          <w:rFonts w:ascii="宋体" w:hAnsi="宋体" w:hint="eastAsia"/>
          <w:szCs w:val="21"/>
        </w:rPr>
        <w:t>本次股份质押</w:t>
      </w:r>
      <w:r w:rsidR="00FF72EA" w:rsidRPr="00F3202B">
        <w:rPr>
          <w:rFonts w:ascii="宋体" w:hAnsi="宋体" w:hint="eastAsia"/>
          <w:szCs w:val="21"/>
        </w:rPr>
        <w:t>展期</w:t>
      </w:r>
      <w:r w:rsidR="00E55DB8" w:rsidRPr="00F3202B">
        <w:rPr>
          <w:rFonts w:ascii="宋体" w:hAnsi="宋体" w:hint="eastAsia"/>
          <w:szCs w:val="21"/>
        </w:rPr>
        <w:t>不存在用于满足上市公司生产经营相关需求的情形。</w:t>
      </w:r>
    </w:p>
    <w:p w:rsidR="008A1761"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A842E6">
        <w:rPr>
          <w:rFonts w:ascii="宋体" w:hAnsi="宋体" w:cs="宋体" w:hint="eastAsia"/>
          <w:color w:val="000000"/>
          <w:szCs w:val="21"/>
        </w:rPr>
        <w:t>2、</w:t>
      </w:r>
      <w:r w:rsidR="00637F8E" w:rsidRPr="00A842E6">
        <w:rPr>
          <w:rFonts w:ascii="宋体" w:hAnsi="宋体" w:cs="宋体" w:hint="eastAsia"/>
          <w:color w:val="000000"/>
          <w:szCs w:val="21"/>
        </w:rPr>
        <w:t>截至公告日，公司</w:t>
      </w:r>
      <w:r w:rsidR="008A1761" w:rsidRPr="00A842E6">
        <w:rPr>
          <w:rFonts w:ascii="宋体" w:hAnsi="宋体" w:cs="宋体" w:hint="eastAsia"/>
          <w:color w:val="000000"/>
          <w:szCs w:val="21"/>
        </w:rPr>
        <w:t>控股股东</w:t>
      </w:r>
      <w:r w:rsidR="00637F8E" w:rsidRPr="00A842E6">
        <w:rPr>
          <w:rFonts w:ascii="宋体" w:hAnsi="宋体" w:cs="宋体" w:hint="eastAsia"/>
          <w:color w:val="000000"/>
          <w:szCs w:val="21"/>
        </w:rPr>
        <w:t>奋进投资</w:t>
      </w:r>
      <w:r w:rsidR="008A1761" w:rsidRPr="00A842E6">
        <w:rPr>
          <w:rFonts w:ascii="宋体" w:hAnsi="宋体" w:cs="宋体" w:hint="eastAsia"/>
          <w:color w:val="000000"/>
          <w:szCs w:val="21"/>
        </w:rPr>
        <w:t>将于未来半年内到期的质押股份数量为</w:t>
      </w:r>
      <w:r w:rsidR="00CE7D3C" w:rsidRPr="00A842E6">
        <w:rPr>
          <w:rFonts w:ascii="宋体" w:hAnsi="宋体" w:cs="宋体"/>
          <w:color w:val="000000"/>
          <w:szCs w:val="21"/>
        </w:rPr>
        <w:t>5</w:t>
      </w:r>
      <w:r w:rsidR="00995ED7" w:rsidRPr="00A842E6">
        <w:rPr>
          <w:rFonts w:ascii="宋体" w:hAnsi="宋体" w:cs="宋体"/>
          <w:color w:val="000000"/>
          <w:szCs w:val="21"/>
        </w:rPr>
        <w:t>1</w:t>
      </w:r>
      <w:r w:rsidR="00707DB3" w:rsidRPr="00A842E6">
        <w:rPr>
          <w:rFonts w:ascii="宋体" w:hAnsi="宋体" w:cs="宋体"/>
          <w:color w:val="000000"/>
          <w:szCs w:val="21"/>
        </w:rPr>
        <w:t>,566,000</w:t>
      </w:r>
      <w:r w:rsidR="008A1761" w:rsidRPr="00A842E6">
        <w:rPr>
          <w:rFonts w:ascii="宋体" w:hAnsi="宋体" w:cs="宋体" w:hint="eastAsia"/>
          <w:color w:val="000000"/>
          <w:szCs w:val="21"/>
        </w:rPr>
        <w:t>股，占其所持股份比例</w:t>
      </w:r>
      <w:r w:rsidR="00995ED7" w:rsidRPr="00A842E6">
        <w:rPr>
          <w:rFonts w:ascii="宋体" w:hAnsi="宋体" w:cs="宋体"/>
          <w:color w:val="000000"/>
          <w:szCs w:val="21"/>
        </w:rPr>
        <w:t>42.63</w:t>
      </w:r>
      <w:r w:rsidR="008A1761" w:rsidRPr="00A842E6">
        <w:rPr>
          <w:rFonts w:ascii="宋体" w:hAnsi="宋体" w:cs="宋体" w:hint="eastAsia"/>
          <w:color w:val="000000"/>
          <w:szCs w:val="21"/>
        </w:rPr>
        <w:t>%，占公司总股本比例为</w:t>
      </w:r>
      <w:r w:rsidR="00995ED7" w:rsidRPr="00A842E6">
        <w:rPr>
          <w:rFonts w:ascii="宋体" w:hAnsi="宋体" w:cs="宋体"/>
          <w:color w:val="000000"/>
          <w:szCs w:val="21"/>
        </w:rPr>
        <w:t>5.93</w:t>
      </w:r>
      <w:r w:rsidR="00707DB3" w:rsidRPr="00A842E6">
        <w:rPr>
          <w:rFonts w:ascii="宋体" w:hAnsi="宋体" w:cs="宋体" w:hint="eastAsia"/>
          <w:color w:val="000000"/>
          <w:szCs w:val="21"/>
        </w:rPr>
        <w:t>%</w:t>
      </w:r>
      <w:r w:rsidR="008A1761" w:rsidRPr="00A842E6">
        <w:rPr>
          <w:rFonts w:ascii="宋体" w:hAnsi="宋体" w:cs="宋体" w:hint="eastAsia"/>
          <w:color w:val="000000"/>
          <w:szCs w:val="21"/>
        </w:rPr>
        <w:t>，对应融资余额为</w:t>
      </w:r>
      <w:r w:rsidR="00A842E6" w:rsidRPr="00A842E6">
        <w:rPr>
          <w:rFonts w:ascii="宋体" w:hAnsi="宋体" w:cs="宋体" w:hint="eastAsia"/>
          <w:color w:val="000000"/>
          <w:szCs w:val="21"/>
        </w:rPr>
        <w:t>2</w:t>
      </w:r>
      <w:r w:rsidR="00A842E6" w:rsidRPr="00A842E6">
        <w:rPr>
          <w:rFonts w:ascii="宋体" w:hAnsi="宋体" w:cs="宋体"/>
          <w:color w:val="000000"/>
          <w:szCs w:val="21"/>
        </w:rPr>
        <w:t>0,050</w:t>
      </w:r>
      <w:r w:rsidR="008A1761" w:rsidRPr="00A842E6">
        <w:rPr>
          <w:rFonts w:ascii="宋体" w:hAnsi="宋体" w:cs="宋体" w:hint="eastAsia"/>
          <w:color w:val="000000"/>
          <w:szCs w:val="21"/>
        </w:rPr>
        <w:t>万元；</w:t>
      </w:r>
      <w:r w:rsidR="00CE7D3C" w:rsidRPr="00A842E6">
        <w:rPr>
          <w:rFonts w:ascii="宋体" w:hAnsi="宋体" w:cs="宋体" w:hint="eastAsia"/>
          <w:color w:val="000000"/>
          <w:szCs w:val="21"/>
        </w:rPr>
        <w:t>奋进投资将于未来一年内（含一年，不含半年内到期质押股份）到期的质押股份数量为</w:t>
      </w:r>
      <w:r w:rsidR="00CE7D3C" w:rsidRPr="00A842E6">
        <w:rPr>
          <w:rFonts w:ascii="宋体" w:hAnsi="宋体"/>
          <w:szCs w:val="21"/>
        </w:rPr>
        <w:t>1</w:t>
      </w:r>
      <w:r w:rsidR="00995ED7" w:rsidRPr="00A842E6">
        <w:rPr>
          <w:rFonts w:ascii="宋体" w:hAnsi="宋体"/>
          <w:szCs w:val="21"/>
        </w:rPr>
        <w:t>2</w:t>
      </w:r>
      <w:r w:rsidR="00CE7D3C" w:rsidRPr="00A842E6">
        <w:rPr>
          <w:rFonts w:ascii="宋体" w:hAnsi="宋体"/>
          <w:szCs w:val="21"/>
        </w:rPr>
        <w:t>,000,000</w:t>
      </w:r>
      <w:r w:rsidR="00CE7D3C" w:rsidRPr="00A842E6">
        <w:rPr>
          <w:rFonts w:ascii="宋体" w:hAnsi="宋体" w:cs="宋体" w:hint="eastAsia"/>
          <w:color w:val="000000"/>
          <w:szCs w:val="21"/>
        </w:rPr>
        <w:t>股，占其所持股份比例</w:t>
      </w:r>
      <w:r w:rsidR="00CE7D3C" w:rsidRPr="00A842E6">
        <w:rPr>
          <w:rFonts w:ascii="宋体" w:hAnsi="宋体" w:cs="宋体"/>
          <w:color w:val="000000"/>
          <w:szCs w:val="21"/>
        </w:rPr>
        <w:t>9.</w:t>
      </w:r>
      <w:r w:rsidR="00995ED7" w:rsidRPr="00A842E6">
        <w:rPr>
          <w:rFonts w:ascii="宋体" w:hAnsi="宋体" w:cs="宋体"/>
          <w:color w:val="000000"/>
          <w:szCs w:val="21"/>
        </w:rPr>
        <w:t>92</w:t>
      </w:r>
      <w:r w:rsidR="00CE7D3C" w:rsidRPr="00A842E6">
        <w:rPr>
          <w:rFonts w:ascii="宋体" w:hAnsi="宋体" w:cs="宋体" w:hint="eastAsia"/>
          <w:color w:val="000000"/>
          <w:szCs w:val="21"/>
        </w:rPr>
        <w:t>%，占公司总股本比例为</w:t>
      </w:r>
      <w:r w:rsidR="00CE7D3C" w:rsidRPr="00A842E6">
        <w:rPr>
          <w:rFonts w:ascii="宋体" w:hAnsi="宋体" w:cs="宋体"/>
          <w:color w:val="000000"/>
          <w:szCs w:val="21"/>
        </w:rPr>
        <w:t>1.</w:t>
      </w:r>
      <w:r w:rsidR="00995ED7" w:rsidRPr="00A842E6">
        <w:rPr>
          <w:rFonts w:ascii="宋体" w:hAnsi="宋体" w:cs="宋体"/>
          <w:color w:val="000000"/>
          <w:szCs w:val="21"/>
        </w:rPr>
        <w:t>38</w:t>
      </w:r>
      <w:r w:rsidR="00CE7D3C" w:rsidRPr="00A842E6">
        <w:rPr>
          <w:rFonts w:ascii="宋体" w:hAnsi="宋体" w:cs="宋体" w:hint="eastAsia"/>
          <w:color w:val="000000"/>
          <w:szCs w:val="21"/>
        </w:rPr>
        <w:t>%，对应融资余额为</w:t>
      </w:r>
      <w:r w:rsidR="00A842E6" w:rsidRPr="00A842E6">
        <w:rPr>
          <w:rFonts w:ascii="宋体" w:hAnsi="宋体" w:cs="宋体" w:hint="eastAsia"/>
          <w:color w:val="000000"/>
          <w:szCs w:val="21"/>
        </w:rPr>
        <w:t>5</w:t>
      </w:r>
      <w:r w:rsidR="00A842E6" w:rsidRPr="00A842E6">
        <w:rPr>
          <w:rFonts w:ascii="宋体" w:hAnsi="宋体" w:cs="宋体"/>
          <w:color w:val="000000"/>
          <w:szCs w:val="21"/>
        </w:rPr>
        <w:t>,500</w:t>
      </w:r>
      <w:r w:rsidR="00CE7D3C" w:rsidRPr="00A842E6">
        <w:rPr>
          <w:rFonts w:ascii="宋体" w:hAnsi="宋体" w:cs="宋体" w:hint="eastAsia"/>
          <w:color w:val="000000"/>
          <w:szCs w:val="21"/>
        </w:rPr>
        <w:t>万元</w:t>
      </w:r>
      <w:r w:rsidR="00BD3E2E" w:rsidRPr="00A842E6">
        <w:rPr>
          <w:rFonts w:ascii="宋体" w:hAnsi="宋体" w:cs="宋体" w:hint="eastAsia"/>
          <w:color w:val="000000"/>
          <w:szCs w:val="21"/>
        </w:rPr>
        <w:t>。</w:t>
      </w:r>
    </w:p>
    <w:p w:rsidR="008A1761" w:rsidRPr="00E55DB8" w:rsidRDefault="00637F8E"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hint="eastAsia"/>
          <w:color w:val="000000"/>
          <w:szCs w:val="21"/>
        </w:rPr>
        <w:t>奋进投资</w:t>
      </w:r>
      <w:r w:rsidR="008A1761" w:rsidRPr="00E55DB8">
        <w:rPr>
          <w:rFonts w:ascii="宋体" w:hAnsi="宋体" w:cs="宋体" w:hint="eastAsia"/>
          <w:color w:val="000000"/>
          <w:szCs w:val="21"/>
        </w:rPr>
        <w:t>具备相应的资金偿还能力，还款资金来源主要包括上市公司股票分红、投资收益、自筹资金等。</w:t>
      </w:r>
    </w:p>
    <w:p w:rsidR="00637F8E"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color w:val="000000"/>
          <w:szCs w:val="21"/>
        </w:rPr>
        <w:t>3</w:t>
      </w:r>
      <w:r w:rsidR="00637F8E" w:rsidRPr="00E55DB8">
        <w:rPr>
          <w:rFonts w:ascii="宋体" w:hAnsi="宋体" w:cs="宋体" w:hint="eastAsia"/>
          <w:color w:val="000000"/>
          <w:szCs w:val="21"/>
        </w:rPr>
        <w:t>、</w:t>
      </w:r>
      <w:r w:rsidR="00D249C4" w:rsidRPr="00E55DB8">
        <w:rPr>
          <w:rFonts w:ascii="宋体" w:hAnsi="宋体" w:cs="宋体" w:hint="eastAsia"/>
          <w:color w:val="000000"/>
          <w:szCs w:val="21"/>
        </w:rPr>
        <w:t>奋进投资不</w:t>
      </w:r>
      <w:r w:rsidR="009F68BE" w:rsidRPr="00E55DB8">
        <w:rPr>
          <w:rFonts w:ascii="宋体" w:hAnsi="宋体" w:cs="宋体" w:hint="eastAsia"/>
          <w:color w:val="000000"/>
          <w:szCs w:val="21"/>
        </w:rPr>
        <w:t>存在非经营性资金占用、违规担保等侵害上市公司利益的情形。</w:t>
      </w:r>
    </w:p>
    <w:p w:rsidR="009F68BE" w:rsidRPr="00E55DB8" w:rsidRDefault="00E55DB8" w:rsidP="00E55DB8">
      <w:pPr>
        <w:widowControl/>
        <w:adjustRightInd w:val="0"/>
        <w:snapToGrid w:val="0"/>
        <w:spacing w:beforeLines="0" w:afterLines="0"/>
        <w:ind w:firstLineChars="200" w:firstLine="420"/>
        <w:jc w:val="left"/>
        <w:rPr>
          <w:rFonts w:ascii="宋体" w:hAnsi="宋体" w:cs="宋体"/>
          <w:color w:val="000000"/>
          <w:szCs w:val="21"/>
        </w:rPr>
      </w:pPr>
      <w:r w:rsidRPr="00E55DB8">
        <w:rPr>
          <w:rFonts w:ascii="宋体" w:hAnsi="宋体" w:cs="宋体"/>
          <w:color w:val="000000"/>
          <w:szCs w:val="21"/>
        </w:rPr>
        <w:t>4</w:t>
      </w:r>
      <w:r w:rsidR="00637F8E" w:rsidRPr="00E55DB8">
        <w:rPr>
          <w:rFonts w:ascii="宋体" w:hAnsi="宋体" w:cs="宋体" w:hint="eastAsia"/>
          <w:color w:val="000000"/>
          <w:szCs w:val="21"/>
        </w:rPr>
        <w:t>、奋进投资</w:t>
      </w:r>
      <w:r w:rsidR="00A60F8D">
        <w:rPr>
          <w:rFonts w:ascii="宋体" w:hAnsi="宋体" w:cs="宋体" w:hint="eastAsia"/>
          <w:color w:val="000000"/>
          <w:szCs w:val="21"/>
        </w:rPr>
        <w:t>本次</w:t>
      </w:r>
      <w:r w:rsidR="009F68BE" w:rsidRPr="00E55DB8">
        <w:rPr>
          <w:rFonts w:ascii="宋体" w:hAnsi="宋体" w:cs="宋体" w:hint="eastAsia"/>
          <w:color w:val="000000"/>
          <w:szCs w:val="21"/>
        </w:rPr>
        <w:t>股份质押</w:t>
      </w:r>
      <w:r w:rsidR="00F3202B">
        <w:rPr>
          <w:rFonts w:ascii="宋体" w:hAnsi="宋体" w:cs="宋体" w:hint="eastAsia"/>
          <w:color w:val="000000"/>
          <w:szCs w:val="21"/>
        </w:rPr>
        <w:t>展期</w:t>
      </w:r>
      <w:r w:rsidR="00A31F1C" w:rsidRPr="00E55DB8">
        <w:rPr>
          <w:rFonts w:ascii="宋体" w:hAnsi="宋体" w:cs="宋体" w:hint="eastAsia"/>
          <w:color w:val="000000"/>
          <w:szCs w:val="21"/>
        </w:rPr>
        <w:t>不会</w:t>
      </w:r>
      <w:r w:rsidR="009F68BE" w:rsidRPr="00E55DB8">
        <w:rPr>
          <w:rFonts w:ascii="宋体" w:hAnsi="宋体" w:cs="宋体" w:hint="eastAsia"/>
          <w:color w:val="000000"/>
          <w:szCs w:val="21"/>
        </w:rPr>
        <w:t>对公司生产经营</w:t>
      </w:r>
      <w:r w:rsidR="00A31F1C" w:rsidRPr="00E55DB8">
        <w:rPr>
          <w:rFonts w:ascii="宋体" w:hAnsi="宋体" w:cs="宋体" w:hint="eastAsia"/>
          <w:color w:val="000000"/>
          <w:szCs w:val="21"/>
        </w:rPr>
        <w:t>和</w:t>
      </w:r>
      <w:r w:rsidR="009F68BE" w:rsidRPr="00E55DB8">
        <w:rPr>
          <w:rFonts w:ascii="宋体" w:hAnsi="宋体" w:cs="宋体" w:hint="eastAsia"/>
          <w:color w:val="000000"/>
          <w:szCs w:val="21"/>
        </w:rPr>
        <w:t>公司治理产生</w:t>
      </w:r>
      <w:r w:rsidR="00A31F1C" w:rsidRPr="00E55DB8">
        <w:rPr>
          <w:rFonts w:ascii="宋体" w:hAnsi="宋体" w:cs="宋体" w:hint="eastAsia"/>
          <w:color w:val="000000"/>
          <w:szCs w:val="21"/>
        </w:rPr>
        <w:t>影响</w:t>
      </w:r>
      <w:r w:rsidR="009F68BE" w:rsidRPr="00E55DB8">
        <w:rPr>
          <w:rFonts w:ascii="宋体" w:hAnsi="宋体" w:cs="宋体" w:hint="eastAsia"/>
          <w:color w:val="000000"/>
          <w:szCs w:val="21"/>
        </w:rPr>
        <w:t>，</w:t>
      </w:r>
      <w:r w:rsidR="00A31F1C" w:rsidRPr="00E55DB8">
        <w:rPr>
          <w:rFonts w:ascii="宋体" w:hAnsi="宋体" w:cs="宋体" w:hint="eastAsia"/>
          <w:color w:val="000000"/>
          <w:szCs w:val="21"/>
        </w:rPr>
        <w:t>不</w:t>
      </w:r>
      <w:r w:rsidR="008A1761" w:rsidRPr="00E55DB8">
        <w:rPr>
          <w:rFonts w:ascii="宋体" w:hAnsi="宋体" w:cs="宋体" w:hint="eastAsia"/>
          <w:color w:val="000000"/>
          <w:szCs w:val="21"/>
        </w:rPr>
        <w:t>涉及</w:t>
      </w:r>
      <w:r w:rsidR="00A31F1C" w:rsidRPr="00E55DB8">
        <w:rPr>
          <w:rFonts w:ascii="宋体" w:hAnsi="宋体" w:cs="宋体" w:hint="eastAsia"/>
          <w:color w:val="000000"/>
          <w:szCs w:val="21"/>
        </w:rPr>
        <w:t>业绩补偿义务情况。</w:t>
      </w:r>
    </w:p>
    <w:p w:rsidR="008A1761" w:rsidRPr="008A1761" w:rsidRDefault="00637F8E" w:rsidP="00E55DB8">
      <w:pPr>
        <w:widowControl/>
        <w:adjustRightInd w:val="0"/>
        <w:snapToGrid w:val="0"/>
        <w:spacing w:beforeLines="0" w:afterLines="0"/>
        <w:ind w:firstLineChars="200" w:firstLine="420"/>
        <w:jc w:val="left"/>
        <w:rPr>
          <w:rFonts w:asciiTheme="minorEastAsia" w:eastAsiaTheme="minorEastAsia" w:hAnsiTheme="minorEastAsia" w:cs="宋体"/>
          <w:color w:val="000000"/>
          <w:szCs w:val="21"/>
        </w:rPr>
      </w:pPr>
      <w:r w:rsidRPr="00E55DB8">
        <w:rPr>
          <w:rFonts w:ascii="宋体" w:hAnsi="宋体" w:cs="宋体" w:hint="eastAsia"/>
          <w:color w:val="000000"/>
          <w:szCs w:val="21"/>
        </w:rPr>
        <w:t>奋进投资</w:t>
      </w:r>
      <w:r w:rsidR="008A1761" w:rsidRPr="00E55DB8">
        <w:rPr>
          <w:rFonts w:ascii="宋体" w:hAnsi="宋体" w:cs="宋体" w:hint="eastAsia"/>
          <w:color w:val="000000"/>
          <w:szCs w:val="21"/>
        </w:rPr>
        <w:t>的财务状况和资信状况良好，质押风险在可控范围之内；不存在可能引发平仓或被强制平仓的情况，不存在可能导致公司实际控制权发生变更的实质性因素。如后续出现风险，</w:t>
      </w:r>
      <w:r w:rsidRPr="00E55DB8">
        <w:rPr>
          <w:rFonts w:ascii="宋体" w:hAnsi="宋体" w:cs="宋体" w:hint="eastAsia"/>
          <w:color w:val="000000"/>
          <w:szCs w:val="21"/>
        </w:rPr>
        <w:t>奋进</w:t>
      </w:r>
      <w:r>
        <w:rPr>
          <w:rFonts w:asciiTheme="minorEastAsia" w:eastAsiaTheme="minorEastAsia" w:hAnsiTheme="minorEastAsia" w:cs="宋体" w:hint="eastAsia"/>
          <w:color w:val="000000"/>
          <w:szCs w:val="21"/>
        </w:rPr>
        <w:t>投资</w:t>
      </w:r>
      <w:r w:rsidR="008A1761" w:rsidRPr="008A1761">
        <w:rPr>
          <w:rFonts w:asciiTheme="minorEastAsia" w:eastAsiaTheme="minorEastAsia" w:hAnsiTheme="minorEastAsia" w:cs="宋体" w:hint="eastAsia"/>
          <w:color w:val="000000"/>
          <w:szCs w:val="21"/>
        </w:rPr>
        <w:t>将采取包括但不限于补充质押、提前还款等措施加以应对。</w:t>
      </w:r>
    </w:p>
    <w:p w:rsidR="00CD5D71" w:rsidRPr="009F68BE" w:rsidRDefault="00B67F1A" w:rsidP="0039254C">
      <w:pPr>
        <w:widowControl/>
        <w:adjustRightInd w:val="0"/>
        <w:snapToGrid w:val="0"/>
        <w:spacing w:beforeLines="100" w:before="316" w:after="158"/>
        <w:ind w:firstLineChars="196" w:firstLine="413"/>
        <w:rPr>
          <w:rFonts w:asciiTheme="minorEastAsia" w:eastAsiaTheme="minorEastAsia" w:hAnsiTheme="minorEastAsia" w:cs="宋体"/>
          <w:b/>
          <w:szCs w:val="21"/>
        </w:rPr>
      </w:pPr>
      <w:r w:rsidRPr="009F68BE">
        <w:rPr>
          <w:rFonts w:asciiTheme="minorEastAsia" w:eastAsiaTheme="minorEastAsia" w:hAnsiTheme="minorEastAsia" w:cs="宋体" w:hint="eastAsia"/>
          <w:b/>
          <w:szCs w:val="21"/>
        </w:rPr>
        <w:t>三</w:t>
      </w:r>
      <w:r w:rsidR="00CD5D71" w:rsidRPr="009F68BE">
        <w:rPr>
          <w:rFonts w:asciiTheme="minorEastAsia" w:eastAsiaTheme="minorEastAsia" w:hAnsiTheme="minorEastAsia" w:cs="宋体" w:hint="eastAsia"/>
          <w:b/>
          <w:szCs w:val="21"/>
        </w:rPr>
        <w:t>、备查文件</w:t>
      </w:r>
    </w:p>
    <w:p w:rsidR="00EB74C1" w:rsidRPr="009F68BE" w:rsidRDefault="00EB74C1" w:rsidP="0039254C">
      <w:pPr>
        <w:widowControl/>
        <w:adjustRightInd w:val="0"/>
        <w:snapToGrid w:val="0"/>
        <w:spacing w:beforeLines="0" w:afterLines="0"/>
        <w:ind w:leftChars="257" w:left="540" w:rightChars="-70" w:right="-147"/>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1、</w:t>
      </w:r>
      <w:r w:rsidR="00637F8E">
        <w:rPr>
          <w:rFonts w:asciiTheme="minorEastAsia" w:eastAsiaTheme="minorEastAsia" w:hAnsiTheme="minorEastAsia" w:cs="宋体" w:hint="eastAsia"/>
          <w:szCs w:val="21"/>
        </w:rPr>
        <w:t>股票质押式回购交易补充协议</w:t>
      </w:r>
      <w:r w:rsidRPr="009F68BE">
        <w:rPr>
          <w:rFonts w:asciiTheme="minorEastAsia" w:eastAsiaTheme="minorEastAsia" w:hAnsiTheme="minorEastAsia" w:cs="宋体" w:hint="eastAsia"/>
          <w:szCs w:val="21"/>
        </w:rPr>
        <w:t>；</w:t>
      </w:r>
    </w:p>
    <w:p w:rsidR="00AD0500" w:rsidRPr="009F68BE" w:rsidRDefault="00637F8E" w:rsidP="0039254C">
      <w:pPr>
        <w:widowControl/>
        <w:adjustRightInd w:val="0"/>
        <w:snapToGrid w:val="0"/>
        <w:spacing w:beforeLines="0" w:afterLines="0"/>
        <w:ind w:leftChars="257" w:left="540"/>
        <w:rPr>
          <w:rFonts w:asciiTheme="minorEastAsia" w:eastAsiaTheme="minorEastAsia" w:hAnsiTheme="minorEastAsia" w:cs="宋体"/>
          <w:szCs w:val="21"/>
        </w:rPr>
      </w:pPr>
      <w:r>
        <w:rPr>
          <w:rFonts w:asciiTheme="minorEastAsia" w:eastAsiaTheme="minorEastAsia" w:hAnsiTheme="minorEastAsia" w:cs="宋体"/>
          <w:szCs w:val="21"/>
        </w:rPr>
        <w:t>2</w:t>
      </w:r>
      <w:r w:rsidR="00AD0500" w:rsidRPr="009F68BE">
        <w:rPr>
          <w:rFonts w:asciiTheme="minorEastAsia" w:eastAsiaTheme="minorEastAsia" w:hAnsiTheme="minorEastAsia" w:cs="宋体" w:hint="eastAsia"/>
          <w:szCs w:val="21"/>
        </w:rPr>
        <w:t>、中国证券登记结算有限责任公司证券质押及司法冻结明细表。</w:t>
      </w:r>
    </w:p>
    <w:p w:rsidR="00CD5D71" w:rsidRPr="009F68BE" w:rsidRDefault="0052296E" w:rsidP="0039254C">
      <w:pPr>
        <w:widowControl/>
        <w:spacing w:before="158" w:after="158" w:line="360" w:lineRule="exact"/>
        <w:ind w:leftChars="257" w:left="540"/>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特此公告。</w:t>
      </w:r>
    </w:p>
    <w:p w:rsidR="00BD2C51" w:rsidRPr="009F68BE" w:rsidRDefault="00CD5D71" w:rsidP="0039254C">
      <w:pPr>
        <w:widowControl/>
        <w:spacing w:before="158" w:after="158" w:line="360" w:lineRule="exact"/>
        <w:ind w:firstLineChars="3150" w:firstLine="6615"/>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华帝股份有限公司</w:t>
      </w:r>
    </w:p>
    <w:p w:rsidR="00CD5D71" w:rsidRPr="009F68BE" w:rsidRDefault="00CD5D71" w:rsidP="0039254C">
      <w:pPr>
        <w:widowControl/>
        <w:spacing w:before="158" w:after="158" w:line="360" w:lineRule="exact"/>
        <w:ind w:firstLineChars="3400" w:firstLine="7140"/>
        <w:jc w:val="left"/>
        <w:rPr>
          <w:rFonts w:asciiTheme="minorEastAsia" w:eastAsiaTheme="minorEastAsia" w:hAnsiTheme="minorEastAsia" w:cs="宋体"/>
          <w:szCs w:val="21"/>
        </w:rPr>
      </w:pPr>
      <w:r w:rsidRPr="009F68BE">
        <w:rPr>
          <w:rFonts w:asciiTheme="minorEastAsia" w:eastAsiaTheme="minorEastAsia" w:hAnsiTheme="minorEastAsia" w:cs="宋体" w:hint="eastAsia"/>
          <w:szCs w:val="21"/>
        </w:rPr>
        <w:t>董事会</w:t>
      </w:r>
    </w:p>
    <w:p w:rsidR="00CD5D71" w:rsidRPr="009F68BE" w:rsidRDefault="00637F8E" w:rsidP="0039254C">
      <w:pPr>
        <w:widowControl/>
        <w:spacing w:before="158" w:after="158" w:line="360" w:lineRule="exact"/>
        <w:jc w:val="right"/>
        <w:rPr>
          <w:rFonts w:asciiTheme="minorEastAsia" w:eastAsiaTheme="minorEastAsia" w:hAnsiTheme="minorEastAsia"/>
        </w:rPr>
      </w:pPr>
      <w:r>
        <w:rPr>
          <w:rFonts w:asciiTheme="minorEastAsia" w:eastAsiaTheme="minorEastAsia" w:hAnsiTheme="minorEastAsia" w:cs="宋体"/>
          <w:szCs w:val="21"/>
        </w:rPr>
        <w:t>2020</w:t>
      </w:r>
      <w:r>
        <w:rPr>
          <w:rFonts w:asciiTheme="minorEastAsia" w:eastAsiaTheme="minorEastAsia" w:hAnsiTheme="minorEastAsia" w:cs="宋体" w:hint="eastAsia"/>
          <w:szCs w:val="21"/>
        </w:rPr>
        <w:t>年</w:t>
      </w:r>
      <w:r w:rsidR="00CE7D3C">
        <w:rPr>
          <w:rFonts w:asciiTheme="minorEastAsia" w:eastAsiaTheme="minorEastAsia" w:hAnsiTheme="minorEastAsia" w:cs="宋体"/>
          <w:szCs w:val="21"/>
        </w:rPr>
        <w:t>8</w:t>
      </w:r>
      <w:r>
        <w:rPr>
          <w:rFonts w:asciiTheme="minorEastAsia" w:eastAsiaTheme="minorEastAsia" w:hAnsiTheme="minorEastAsia" w:cs="宋体" w:hint="eastAsia"/>
          <w:szCs w:val="21"/>
        </w:rPr>
        <w:t>月</w:t>
      </w:r>
      <w:r w:rsidR="00CE7D3C">
        <w:rPr>
          <w:rFonts w:asciiTheme="minorEastAsia" w:eastAsiaTheme="minorEastAsia" w:hAnsiTheme="minorEastAsia" w:cs="宋体"/>
          <w:szCs w:val="21"/>
        </w:rPr>
        <w:t>17</w:t>
      </w:r>
      <w:r>
        <w:rPr>
          <w:rFonts w:asciiTheme="minorEastAsia" w:eastAsiaTheme="minorEastAsia" w:hAnsiTheme="minorEastAsia" w:cs="宋体" w:hint="eastAsia"/>
          <w:szCs w:val="21"/>
        </w:rPr>
        <w:t>日</w:t>
      </w:r>
    </w:p>
    <w:sectPr w:rsidR="00CD5D71" w:rsidRPr="009F68BE" w:rsidSect="0039254C">
      <w:headerReference w:type="even" r:id="rId8"/>
      <w:headerReference w:type="default" r:id="rId9"/>
      <w:footerReference w:type="even" r:id="rId10"/>
      <w:footerReference w:type="default" r:id="rId11"/>
      <w:headerReference w:type="first" r:id="rId12"/>
      <w:footerReference w:type="first" r:id="rId13"/>
      <w:pgSz w:w="11906" w:h="16838"/>
      <w:pgMar w:top="1134" w:right="1797" w:bottom="851" w:left="1797" w:header="851" w:footer="992" w:gutter="0"/>
      <w:cols w:space="425"/>
      <w:docGrid w:type="lines" w:linePitch="316" w:charSpace="64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7F" w:rsidRDefault="00D3547F" w:rsidP="00186AAD">
      <w:pPr>
        <w:spacing w:before="120" w:after="120" w:line="240" w:lineRule="auto"/>
      </w:pPr>
      <w:r>
        <w:separator/>
      </w:r>
    </w:p>
  </w:endnote>
  <w:endnote w:type="continuationSeparator" w:id="0">
    <w:p w:rsidR="00D3547F" w:rsidRDefault="00D3547F" w:rsidP="00186AAD">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a"/>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7F" w:rsidRDefault="00D3547F" w:rsidP="00186AAD">
      <w:pPr>
        <w:spacing w:before="120" w:after="120" w:line="240" w:lineRule="auto"/>
      </w:pPr>
      <w:r>
        <w:separator/>
      </w:r>
    </w:p>
  </w:footnote>
  <w:footnote w:type="continuationSeparator" w:id="0">
    <w:p w:rsidR="00D3547F" w:rsidRDefault="00D3547F" w:rsidP="00186AAD">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39254C">
    <w:pPr>
      <w:pStyle w:val="a8"/>
      <w:pBdr>
        <w:bottom w:val="none" w:sz="0" w:space="0" w:color="auto"/>
      </w:pBdr>
      <w:spacing w:before="120" w:after="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39254C">
    <w:pPr>
      <w:pStyle w:val="a8"/>
      <w:pBdr>
        <w:bottom w:val="none" w:sz="0" w:space="0" w:color="auto"/>
      </w:pBdr>
      <w:spacing w:before="120" w:after="12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AD" w:rsidRDefault="00186AAD" w:rsidP="00186AAD">
    <w:pPr>
      <w:pStyle w:val="a8"/>
      <w:spacing w:before="120"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tabs>
          <w:tab w:val="num" w:pos="1125"/>
        </w:tabs>
        <w:ind w:left="1125" w:hanging="1125"/>
      </w:pPr>
      <w:rPr>
        <w:rFonts w:hint="eastAsia"/>
      </w:rPr>
    </w:lvl>
    <w:lvl w:ilvl="1">
      <w:start w:val="1"/>
      <w:numFmt w:val="chineseCountingThousand"/>
      <w:lvlText w:val="第%2节"/>
      <w:lvlJc w:val="left"/>
      <w:pPr>
        <w:tabs>
          <w:tab w:val="num" w:pos="1710"/>
        </w:tabs>
        <w:ind w:left="1710" w:hanging="1290"/>
      </w:pPr>
      <w:rPr>
        <w:rFonts w:eastAsia="宋体" w:hint="eastAsia"/>
        <w:b/>
        <w:i w:val="0"/>
        <w:sz w:val="24"/>
      </w:rPr>
    </w:lvl>
    <w:lvl w:ilvl="2">
      <w:start w:val="1"/>
      <w:numFmt w:val="chineseCountingThousand"/>
      <w:lvlText w:val="（%3）"/>
      <w:lvlJc w:val="left"/>
      <w:pPr>
        <w:tabs>
          <w:tab w:val="num" w:pos="1572"/>
        </w:tabs>
        <w:ind w:left="1572" w:hanging="732"/>
      </w:pPr>
      <w:rPr>
        <w:rFonts w:eastAsia="宋体" w:hint="eastAsia"/>
        <w:b w:val="0"/>
        <w:i w:val="0"/>
        <w:sz w:val="24"/>
      </w:rPr>
    </w:lvl>
    <w:lvl w:ilvl="3">
      <w:start w:val="1"/>
      <w:numFmt w:val="chineseCountingThousand"/>
      <w:lvlText w:val="（%4）"/>
      <w:lvlJc w:val="left"/>
      <w:pPr>
        <w:tabs>
          <w:tab w:val="num" w:pos="1995"/>
        </w:tabs>
        <w:ind w:left="1995" w:hanging="735"/>
      </w:pPr>
      <w:rPr>
        <w:rFonts w:hint="eastAsia"/>
        <w:b w:val="0"/>
        <w:i w:val="0"/>
      </w:rPr>
    </w:lvl>
    <w:lvl w:ilvl="4">
      <w:start w:val="1"/>
      <w:numFmt w:val="japaneseCounting"/>
      <w:lvlText w:val="(%5)"/>
      <w:lvlJc w:val="left"/>
      <w:pPr>
        <w:tabs>
          <w:tab w:val="num" w:pos="2190"/>
        </w:tabs>
        <w:ind w:left="2190" w:hanging="51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BD826AB"/>
    <w:multiLevelType w:val="hybridMultilevel"/>
    <w:tmpl w:val="AF56E96A"/>
    <w:lvl w:ilvl="0" w:tplc="1BB68AC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13"/>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71"/>
    <w:rsid w:val="00016666"/>
    <w:rsid w:val="00036B76"/>
    <w:rsid w:val="00040819"/>
    <w:rsid w:val="00040917"/>
    <w:rsid w:val="00042F45"/>
    <w:rsid w:val="00044BB4"/>
    <w:rsid w:val="00054DFD"/>
    <w:rsid w:val="00056EE8"/>
    <w:rsid w:val="0005726E"/>
    <w:rsid w:val="000630EF"/>
    <w:rsid w:val="000672AE"/>
    <w:rsid w:val="00067F66"/>
    <w:rsid w:val="00093E6E"/>
    <w:rsid w:val="000A19BA"/>
    <w:rsid w:val="000A255E"/>
    <w:rsid w:val="000B2D47"/>
    <w:rsid w:val="000B4C98"/>
    <w:rsid w:val="000B65BF"/>
    <w:rsid w:val="000C5241"/>
    <w:rsid w:val="000D0A25"/>
    <w:rsid w:val="000D5239"/>
    <w:rsid w:val="000D6CE7"/>
    <w:rsid w:val="000E0CBD"/>
    <w:rsid w:val="000F7821"/>
    <w:rsid w:val="00102F47"/>
    <w:rsid w:val="0010769A"/>
    <w:rsid w:val="00112B52"/>
    <w:rsid w:val="00116DDC"/>
    <w:rsid w:val="001257B1"/>
    <w:rsid w:val="00141880"/>
    <w:rsid w:val="00141D9F"/>
    <w:rsid w:val="001424F2"/>
    <w:rsid w:val="00146B00"/>
    <w:rsid w:val="00146DC6"/>
    <w:rsid w:val="001523AA"/>
    <w:rsid w:val="001540DB"/>
    <w:rsid w:val="00156262"/>
    <w:rsid w:val="0015701B"/>
    <w:rsid w:val="00172119"/>
    <w:rsid w:val="001741DF"/>
    <w:rsid w:val="001846FC"/>
    <w:rsid w:val="00186AAD"/>
    <w:rsid w:val="00190A45"/>
    <w:rsid w:val="0019208E"/>
    <w:rsid w:val="001927AE"/>
    <w:rsid w:val="001A4B76"/>
    <w:rsid w:val="001B475E"/>
    <w:rsid w:val="001B50A3"/>
    <w:rsid w:val="001C1815"/>
    <w:rsid w:val="001D52E4"/>
    <w:rsid w:val="001E7D0A"/>
    <w:rsid w:val="001F3DB3"/>
    <w:rsid w:val="0020534C"/>
    <w:rsid w:val="00206F06"/>
    <w:rsid w:val="00210092"/>
    <w:rsid w:val="002140C3"/>
    <w:rsid w:val="00216674"/>
    <w:rsid w:val="00221D05"/>
    <w:rsid w:val="00226499"/>
    <w:rsid w:val="00241EF2"/>
    <w:rsid w:val="00245192"/>
    <w:rsid w:val="00266C3C"/>
    <w:rsid w:val="00267781"/>
    <w:rsid w:val="002677B4"/>
    <w:rsid w:val="002778C2"/>
    <w:rsid w:val="002962FA"/>
    <w:rsid w:val="002A0128"/>
    <w:rsid w:val="002A5C75"/>
    <w:rsid w:val="002B2640"/>
    <w:rsid w:val="002B3BB5"/>
    <w:rsid w:val="002B61AE"/>
    <w:rsid w:val="002D19F4"/>
    <w:rsid w:val="002D441E"/>
    <w:rsid w:val="002E2E50"/>
    <w:rsid w:val="002F0AEF"/>
    <w:rsid w:val="002F2B12"/>
    <w:rsid w:val="00304E95"/>
    <w:rsid w:val="00306B74"/>
    <w:rsid w:val="0033455E"/>
    <w:rsid w:val="003352E3"/>
    <w:rsid w:val="0034272F"/>
    <w:rsid w:val="00351512"/>
    <w:rsid w:val="00360490"/>
    <w:rsid w:val="00374BC8"/>
    <w:rsid w:val="00383B3A"/>
    <w:rsid w:val="00384976"/>
    <w:rsid w:val="0038638A"/>
    <w:rsid w:val="0039065F"/>
    <w:rsid w:val="0039254C"/>
    <w:rsid w:val="003B4D79"/>
    <w:rsid w:val="003C1751"/>
    <w:rsid w:val="003D2E03"/>
    <w:rsid w:val="003D501B"/>
    <w:rsid w:val="003E4634"/>
    <w:rsid w:val="003F6860"/>
    <w:rsid w:val="004063C7"/>
    <w:rsid w:val="00411692"/>
    <w:rsid w:val="0042515B"/>
    <w:rsid w:val="004406D4"/>
    <w:rsid w:val="00450911"/>
    <w:rsid w:val="00453F9A"/>
    <w:rsid w:val="00462BE7"/>
    <w:rsid w:val="0046318B"/>
    <w:rsid w:val="004706F7"/>
    <w:rsid w:val="0048634C"/>
    <w:rsid w:val="004A2FEA"/>
    <w:rsid w:val="004A7B1F"/>
    <w:rsid w:val="004A7EDD"/>
    <w:rsid w:val="004B4FA3"/>
    <w:rsid w:val="004C1838"/>
    <w:rsid w:val="004C2DBC"/>
    <w:rsid w:val="004C3E66"/>
    <w:rsid w:val="004C45B4"/>
    <w:rsid w:val="004C71FE"/>
    <w:rsid w:val="004D0DBC"/>
    <w:rsid w:val="004D15D4"/>
    <w:rsid w:val="004D3E54"/>
    <w:rsid w:val="004D51B6"/>
    <w:rsid w:val="004E17EA"/>
    <w:rsid w:val="004E1F54"/>
    <w:rsid w:val="004E33A9"/>
    <w:rsid w:val="004E7DA3"/>
    <w:rsid w:val="00507D0A"/>
    <w:rsid w:val="00513F5F"/>
    <w:rsid w:val="00521135"/>
    <w:rsid w:val="0052296E"/>
    <w:rsid w:val="0052386C"/>
    <w:rsid w:val="00523E46"/>
    <w:rsid w:val="00523E91"/>
    <w:rsid w:val="00537B5B"/>
    <w:rsid w:val="00567D75"/>
    <w:rsid w:val="00582304"/>
    <w:rsid w:val="00584D00"/>
    <w:rsid w:val="00597DF1"/>
    <w:rsid w:val="005A2ADC"/>
    <w:rsid w:val="005A3A79"/>
    <w:rsid w:val="005D1A81"/>
    <w:rsid w:val="005D33A0"/>
    <w:rsid w:val="005D3AD1"/>
    <w:rsid w:val="005D4033"/>
    <w:rsid w:val="005D6295"/>
    <w:rsid w:val="005E011C"/>
    <w:rsid w:val="005E0597"/>
    <w:rsid w:val="005E4C81"/>
    <w:rsid w:val="005E6268"/>
    <w:rsid w:val="005F412C"/>
    <w:rsid w:val="0061636C"/>
    <w:rsid w:val="00616E8D"/>
    <w:rsid w:val="00624674"/>
    <w:rsid w:val="00631296"/>
    <w:rsid w:val="00631765"/>
    <w:rsid w:val="00633B5C"/>
    <w:rsid w:val="00637F8E"/>
    <w:rsid w:val="006470ED"/>
    <w:rsid w:val="00656FAE"/>
    <w:rsid w:val="00657AE0"/>
    <w:rsid w:val="00660A87"/>
    <w:rsid w:val="006646BA"/>
    <w:rsid w:val="00672AA7"/>
    <w:rsid w:val="006830E9"/>
    <w:rsid w:val="006852C0"/>
    <w:rsid w:val="006C1B46"/>
    <w:rsid w:val="006C276C"/>
    <w:rsid w:val="006D6FE8"/>
    <w:rsid w:val="006F6BD2"/>
    <w:rsid w:val="006F7B09"/>
    <w:rsid w:val="00702062"/>
    <w:rsid w:val="00706D7B"/>
    <w:rsid w:val="00707DB3"/>
    <w:rsid w:val="00717E0D"/>
    <w:rsid w:val="007210C8"/>
    <w:rsid w:val="00723E28"/>
    <w:rsid w:val="00725F66"/>
    <w:rsid w:val="007260D1"/>
    <w:rsid w:val="00732D49"/>
    <w:rsid w:val="00735802"/>
    <w:rsid w:val="00736224"/>
    <w:rsid w:val="00746AFA"/>
    <w:rsid w:val="00752D51"/>
    <w:rsid w:val="00765AF1"/>
    <w:rsid w:val="00786D11"/>
    <w:rsid w:val="007A68EB"/>
    <w:rsid w:val="007A69F2"/>
    <w:rsid w:val="007D5060"/>
    <w:rsid w:val="007E0AC9"/>
    <w:rsid w:val="007E4C21"/>
    <w:rsid w:val="007E79CB"/>
    <w:rsid w:val="007F00DF"/>
    <w:rsid w:val="00810F71"/>
    <w:rsid w:val="00814A69"/>
    <w:rsid w:val="00816C48"/>
    <w:rsid w:val="008256DF"/>
    <w:rsid w:val="00831032"/>
    <w:rsid w:val="00832743"/>
    <w:rsid w:val="0083289E"/>
    <w:rsid w:val="00836619"/>
    <w:rsid w:val="008413E2"/>
    <w:rsid w:val="008436A2"/>
    <w:rsid w:val="00850015"/>
    <w:rsid w:val="0085156A"/>
    <w:rsid w:val="008515D9"/>
    <w:rsid w:val="00853872"/>
    <w:rsid w:val="008624FD"/>
    <w:rsid w:val="008809F9"/>
    <w:rsid w:val="008819D4"/>
    <w:rsid w:val="00882407"/>
    <w:rsid w:val="0089062C"/>
    <w:rsid w:val="008A1761"/>
    <w:rsid w:val="008A262D"/>
    <w:rsid w:val="008A76E9"/>
    <w:rsid w:val="008B4A5A"/>
    <w:rsid w:val="008B533F"/>
    <w:rsid w:val="008C10CE"/>
    <w:rsid w:val="008D251C"/>
    <w:rsid w:val="008D2994"/>
    <w:rsid w:val="008F26C7"/>
    <w:rsid w:val="008F7A88"/>
    <w:rsid w:val="00903270"/>
    <w:rsid w:val="00903638"/>
    <w:rsid w:val="00920502"/>
    <w:rsid w:val="0092108D"/>
    <w:rsid w:val="009241CD"/>
    <w:rsid w:val="009303DC"/>
    <w:rsid w:val="0094563E"/>
    <w:rsid w:val="00945B5D"/>
    <w:rsid w:val="009509EE"/>
    <w:rsid w:val="00952F29"/>
    <w:rsid w:val="00955508"/>
    <w:rsid w:val="00957BA3"/>
    <w:rsid w:val="00957CF4"/>
    <w:rsid w:val="00963413"/>
    <w:rsid w:val="009671A7"/>
    <w:rsid w:val="009706F7"/>
    <w:rsid w:val="00972D52"/>
    <w:rsid w:val="00977314"/>
    <w:rsid w:val="009863B1"/>
    <w:rsid w:val="00987724"/>
    <w:rsid w:val="00987FA2"/>
    <w:rsid w:val="00995ED7"/>
    <w:rsid w:val="009B5984"/>
    <w:rsid w:val="009C4622"/>
    <w:rsid w:val="009E6974"/>
    <w:rsid w:val="009E70F5"/>
    <w:rsid w:val="009F062A"/>
    <w:rsid w:val="009F323E"/>
    <w:rsid w:val="009F3CE9"/>
    <w:rsid w:val="009F68BE"/>
    <w:rsid w:val="00A10D40"/>
    <w:rsid w:val="00A20C59"/>
    <w:rsid w:val="00A224CA"/>
    <w:rsid w:val="00A229B2"/>
    <w:rsid w:val="00A248B8"/>
    <w:rsid w:val="00A258A8"/>
    <w:rsid w:val="00A31F1C"/>
    <w:rsid w:val="00A34359"/>
    <w:rsid w:val="00A35A9D"/>
    <w:rsid w:val="00A45251"/>
    <w:rsid w:val="00A60F8D"/>
    <w:rsid w:val="00A82391"/>
    <w:rsid w:val="00A82CF4"/>
    <w:rsid w:val="00A82D68"/>
    <w:rsid w:val="00A842E6"/>
    <w:rsid w:val="00A871E9"/>
    <w:rsid w:val="00A87B6C"/>
    <w:rsid w:val="00A87B94"/>
    <w:rsid w:val="00AB14ED"/>
    <w:rsid w:val="00AC4769"/>
    <w:rsid w:val="00AD0500"/>
    <w:rsid w:val="00AD0DF8"/>
    <w:rsid w:val="00AD31F1"/>
    <w:rsid w:val="00AE105A"/>
    <w:rsid w:val="00B1693E"/>
    <w:rsid w:val="00B21404"/>
    <w:rsid w:val="00B2637E"/>
    <w:rsid w:val="00B2757F"/>
    <w:rsid w:val="00B45289"/>
    <w:rsid w:val="00B53D38"/>
    <w:rsid w:val="00B65D38"/>
    <w:rsid w:val="00B67F1A"/>
    <w:rsid w:val="00B708CF"/>
    <w:rsid w:val="00BA111C"/>
    <w:rsid w:val="00BA2A8B"/>
    <w:rsid w:val="00BA3DA1"/>
    <w:rsid w:val="00BD2C51"/>
    <w:rsid w:val="00BD3E2E"/>
    <w:rsid w:val="00BD60CF"/>
    <w:rsid w:val="00BE2C84"/>
    <w:rsid w:val="00BE5855"/>
    <w:rsid w:val="00BF45A6"/>
    <w:rsid w:val="00BF4E8C"/>
    <w:rsid w:val="00C02A95"/>
    <w:rsid w:val="00C14D1E"/>
    <w:rsid w:val="00C22821"/>
    <w:rsid w:val="00C567E0"/>
    <w:rsid w:val="00C57D8E"/>
    <w:rsid w:val="00C6290B"/>
    <w:rsid w:val="00C62F17"/>
    <w:rsid w:val="00C66A5F"/>
    <w:rsid w:val="00C73834"/>
    <w:rsid w:val="00C77132"/>
    <w:rsid w:val="00C83534"/>
    <w:rsid w:val="00C8586A"/>
    <w:rsid w:val="00C868DE"/>
    <w:rsid w:val="00C86BB5"/>
    <w:rsid w:val="00CA784F"/>
    <w:rsid w:val="00CB1E43"/>
    <w:rsid w:val="00CC2623"/>
    <w:rsid w:val="00CD2554"/>
    <w:rsid w:val="00CD5D71"/>
    <w:rsid w:val="00CE7D3C"/>
    <w:rsid w:val="00CF0FD0"/>
    <w:rsid w:val="00D021BF"/>
    <w:rsid w:val="00D10658"/>
    <w:rsid w:val="00D10714"/>
    <w:rsid w:val="00D10C8E"/>
    <w:rsid w:val="00D13018"/>
    <w:rsid w:val="00D14B5D"/>
    <w:rsid w:val="00D21F05"/>
    <w:rsid w:val="00D248D2"/>
    <w:rsid w:val="00D249C4"/>
    <w:rsid w:val="00D34129"/>
    <w:rsid w:val="00D3547F"/>
    <w:rsid w:val="00D41748"/>
    <w:rsid w:val="00D44D1E"/>
    <w:rsid w:val="00D44D52"/>
    <w:rsid w:val="00D50904"/>
    <w:rsid w:val="00D51DBC"/>
    <w:rsid w:val="00D54417"/>
    <w:rsid w:val="00D67CDA"/>
    <w:rsid w:val="00D75EA6"/>
    <w:rsid w:val="00D80BA1"/>
    <w:rsid w:val="00D90F1A"/>
    <w:rsid w:val="00D96C73"/>
    <w:rsid w:val="00DA5423"/>
    <w:rsid w:val="00DB18F0"/>
    <w:rsid w:val="00DB1CF4"/>
    <w:rsid w:val="00DB38E9"/>
    <w:rsid w:val="00DB44B5"/>
    <w:rsid w:val="00DD290C"/>
    <w:rsid w:val="00DE41F3"/>
    <w:rsid w:val="00DE6BB5"/>
    <w:rsid w:val="00E00701"/>
    <w:rsid w:val="00E07E30"/>
    <w:rsid w:val="00E13D95"/>
    <w:rsid w:val="00E22526"/>
    <w:rsid w:val="00E308A4"/>
    <w:rsid w:val="00E32004"/>
    <w:rsid w:val="00E432B6"/>
    <w:rsid w:val="00E532FA"/>
    <w:rsid w:val="00E55DB8"/>
    <w:rsid w:val="00E60E76"/>
    <w:rsid w:val="00E60F8E"/>
    <w:rsid w:val="00E61B74"/>
    <w:rsid w:val="00E76F94"/>
    <w:rsid w:val="00E8429A"/>
    <w:rsid w:val="00E873EE"/>
    <w:rsid w:val="00E92491"/>
    <w:rsid w:val="00EA016C"/>
    <w:rsid w:val="00EA26E8"/>
    <w:rsid w:val="00EB2CC1"/>
    <w:rsid w:val="00EB74C1"/>
    <w:rsid w:val="00ED07D8"/>
    <w:rsid w:val="00ED1303"/>
    <w:rsid w:val="00ED1BBA"/>
    <w:rsid w:val="00EE1AC8"/>
    <w:rsid w:val="00EF02C2"/>
    <w:rsid w:val="00F02C22"/>
    <w:rsid w:val="00F051C2"/>
    <w:rsid w:val="00F13E41"/>
    <w:rsid w:val="00F15C70"/>
    <w:rsid w:val="00F176C5"/>
    <w:rsid w:val="00F22A70"/>
    <w:rsid w:val="00F271E3"/>
    <w:rsid w:val="00F3202B"/>
    <w:rsid w:val="00F32256"/>
    <w:rsid w:val="00F32956"/>
    <w:rsid w:val="00F3484B"/>
    <w:rsid w:val="00F364B4"/>
    <w:rsid w:val="00F44AC5"/>
    <w:rsid w:val="00F47811"/>
    <w:rsid w:val="00F64158"/>
    <w:rsid w:val="00F65ADD"/>
    <w:rsid w:val="00F678BE"/>
    <w:rsid w:val="00F738C2"/>
    <w:rsid w:val="00F7486C"/>
    <w:rsid w:val="00F75FE9"/>
    <w:rsid w:val="00F81C59"/>
    <w:rsid w:val="00F83466"/>
    <w:rsid w:val="00F8386B"/>
    <w:rsid w:val="00F85A7D"/>
    <w:rsid w:val="00F94C4A"/>
    <w:rsid w:val="00FC0509"/>
    <w:rsid w:val="00FC2170"/>
    <w:rsid w:val="00FC3464"/>
    <w:rsid w:val="00FC601A"/>
    <w:rsid w:val="00FD0371"/>
    <w:rsid w:val="00FE3123"/>
    <w:rsid w:val="00FE7B10"/>
    <w:rsid w:val="00FF0F9B"/>
    <w:rsid w:val="00FF7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53D79"/>
  <w15:docId w15:val="{53DE76C6-E6CF-4F04-B50A-8684FF4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beforeLines="50" w:afterLines="5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6C"/>
    <w:pPr>
      <w:widowControl w:val="0"/>
    </w:pPr>
    <w:rPr>
      <w:sz w:val="21"/>
      <w:szCs w:val="24"/>
    </w:rPr>
  </w:style>
  <w:style w:type="paragraph" w:styleId="1">
    <w:name w:val="heading 1"/>
    <w:basedOn w:val="a"/>
    <w:next w:val="a"/>
    <w:link w:val="10"/>
    <w:qFormat/>
    <w:rsid w:val="00F748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486C"/>
    <w:rPr>
      <w:b/>
      <w:bCs/>
      <w:kern w:val="44"/>
      <w:sz w:val="44"/>
      <w:szCs w:val="44"/>
    </w:rPr>
  </w:style>
  <w:style w:type="paragraph" w:styleId="a3">
    <w:name w:val="Title"/>
    <w:basedOn w:val="a"/>
    <w:next w:val="a"/>
    <w:link w:val="a4"/>
    <w:qFormat/>
    <w:rsid w:val="00F7486C"/>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rsid w:val="00F7486C"/>
    <w:rPr>
      <w:rFonts w:asciiTheme="majorHAnsi" w:hAnsiTheme="majorHAnsi" w:cstheme="majorBidi"/>
      <w:b/>
      <w:bCs/>
      <w:sz w:val="32"/>
      <w:szCs w:val="32"/>
    </w:rPr>
  </w:style>
  <w:style w:type="paragraph" w:customStyle="1" w:styleId="Default">
    <w:name w:val="Default"/>
    <w:rsid w:val="00CD5D71"/>
    <w:pPr>
      <w:widowControl w:val="0"/>
      <w:autoSpaceDE w:val="0"/>
      <w:autoSpaceDN w:val="0"/>
      <w:adjustRightInd w:val="0"/>
      <w:spacing w:beforeLines="0" w:afterLines="0" w:line="240" w:lineRule="auto"/>
      <w:jc w:val="left"/>
    </w:pPr>
    <w:rPr>
      <w:rFonts w:ascii="宋体" w:cs="宋体"/>
      <w:color w:val="000000"/>
      <w:sz w:val="24"/>
      <w:szCs w:val="24"/>
    </w:rPr>
  </w:style>
  <w:style w:type="paragraph" w:styleId="a5">
    <w:name w:val="List Paragraph"/>
    <w:basedOn w:val="a"/>
    <w:uiPriority w:val="34"/>
    <w:qFormat/>
    <w:rsid w:val="008B4A5A"/>
    <w:pPr>
      <w:ind w:firstLineChars="200" w:firstLine="420"/>
    </w:pPr>
  </w:style>
  <w:style w:type="paragraph" w:styleId="a6">
    <w:name w:val="Balloon Text"/>
    <w:basedOn w:val="a"/>
    <w:link w:val="a7"/>
    <w:uiPriority w:val="99"/>
    <w:semiHidden/>
    <w:unhideWhenUsed/>
    <w:rsid w:val="00AE105A"/>
    <w:pPr>
      <w:spacing w:line="240" w:lineRule="auto"/>
    </w:pPr>
    <w:rPr>
      <w:sz w:val="18"/>
      <w:szCs w:val="18"/>
    </w:rPr>
  </w:style>
  <w:style w:type="character" w:customStyle="1" w:styleId="a7">
    <w:name w:val="批注框文本 字符"/>
    <w:basedOn w:val="a0"/>
    <w:link w:val="a6"/>
    <w:uiPriority w:val="99"/>
    <w:semiHidden/>
    <w:rsid w:val="00AE105A"/>
    <w:rPr>
      <w:sz w:val="18"/>
      <w:szCs w:val="18"/>
    </w:rPr>
  </w:style>
  <w:style w:type="paragraph" w:styleId="a8">
    <w:name w:val="header"/>
    <w:basedOn w:val="a"/>
    <w:link w:val="a9"/>
    <w:uiPriority w:val="99"/>
    <w:semiHidden/>
    <w:unhideWhenUsed/>
    <w:rsid w:val="00186A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semiHidden/>
    <w:rsid w:val="00186AAD"/>
    <w:rPr>
      <w:sz w:val="18"/>
      <w:szCs w:val="18"/>
    </w:rPr>
  </w:style>
  <w:style w:type="paragraph" w:styleId="aa">
    <w:name w:val="footer"/>
    <w:basedOn w:val="a"/>
    <w:link w:val="ab"/>
    <w:uiPriority w:val="99"/>
    <w:semiHidden/>
    <w:unhideWhenUsed/>
    <w:rsid w:val="00186AAD"/>
    <w:pPr>
      <w:tabs>
        <w:tab w:val="center" w:pos="4153"/>
        <w:tab w:val="right" w:pos="8306"/>
      </w:tabs>
      <w:snapToGrid w:val="0"/>
      <w:spacing w:line="240" w:lineRule="auto"/>
      <w:jc w:val="left"/>
    </w:pPr>
    <w:rPr>
      <w:sz w:val="18"/>
      <w:szCs w:val="18"/>
    </w:rPr>
  </w:style>
  <w:style w:type="character" w:customStyle="1" w:styleId="ab">
    <w:name w:val="页脚 字符"/>
    <w:basedOn w:val="a0"/>
    <w:link w:val="aa"/>
    <w:uiPriority w:val="99"/>
    <w:semiHidden/>
    <w:rsid w:val="00186AAD"/>
    <w:rPr>
      <w:sz w:val="18"/>
      <w:szCs w:val="18"/>
    </w:rPr>
  </w:style>
  <w:style w:type="table" w:styleId="ac">
    <w:name w:val="Table Grid"/>
    <w:basedOn w:val="a1"/>
    <w:uiPriority w:val="59"/>
    <w:rsid w:val="009F68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097">
      <w:bodyDiv w:val="1"/>
      <w:marLeft w:val="0"/>
      <w:marRight w:val="0"/>
      <w:marTop w:val="0"/>
      <w:marBottom w:val="0"/>
      <w:divBdr>
        <w:top w:val="none" w:sz="0" w:space="0" w:color="auto"/>
        <w:left w:val="none" w:sz="0" w:space="0" w:color="auto"/>
        <w:bottom w:val="none" w:sz="0" w:space="0" w:color="auto"/>
        <w:right w:val="none" w:sz="0" w:space="0" w:color="auto"/>
      </w:divBdr>
    </w:div>
    <w:div w:id="23555145">
      <w:bodyDiv w:val="1"/>
      <w:marLeft w:val="0"/>
      <w:marRight w:val="0"/>
      <w:marTop w:val="0"/>
      <w:marBottom w:val="0"/>
      <w:divBdr>
        <w:top w:val="none" w:sz="0" w:space="0" w:color="auto"/>
        <w:left w:val="none" w:sz="0" w:space="0" w:color="auto"/>
        <w:bottom w:val="none" w:sz="0" w:space="0" w:color="auto"/>
        <w:right w:val="none" w:sz="0" w:space="0" w:color="auto"/>
      </w:divBdr>
    </w:div>
    <w:div w:id="57945745">
      <w:bodyDiv w:val="1"/>
      <w:marLeft w:val="0"/>
      <w:marRight w:val="0"/>
      <w:marTop w:val="0"/>
      <w:marBottom w:val="0"/>
      <w:divBdr>
        <w:top w:val="none" w:sz="0" w:space="0" w:color="auto"/>
        <w:left w:val="none" w:sz="0" w:space="0" w:color="auto"/>
        <w:bottom w:val="none" w:sz="0" w:space="0" w:color="auto"/>
        <w:right w:val="none" w:sz="0" w:space="0" w:color="auto"/>
      </w:divBdr>
    </w:div>
    <w:div w:id="66264636">
      <w:bodyDiv w:val="1"/>
      <w:marLeft w:val="0"/>
      <w:marRight w:val="0"/>
      <w:marTop w:val="0"/>
      <w:marBottom w:val="0"/>
      <w:divBdr>
        <w:top w:val="none" w:sz="0" w:space="0" w:color="auto"/>
        <w:left w:val="none" w:sz="0" w:space="0" w:color="auto"/>
        <w:bottom w:val="none" w:sz="0" w:space="0" w:color="auto"/>
        <w:right w:val="none" w:sz="0" w:space="0" w:color="auto"/>
      </w:divBdr>
    </w:div>
    <w:div w:id="85272398">
      <w:bodyDiv w:val="1"/>
      <w:marLeft w:val="0"/>
      <w:marRight w:val="0"/>
      <w:marTop w:val="0"/>
      <w:marBottom w:val="0"/>
      <w:divBdr>
        <w:top w:val="none" w:sz="0" w:space="0" w:color="auto"/>
        <w:left w:val="none" w:sz="0" w:space="0" w:color="auto"/>
        <w:bottom w:val="none" w:sz="0" w:space="0" w:color="auto"/>
        <w:right w:val="none" w:sz="0" w:space="0" w:color="auto"/>
      </w:divBdr>
    </w:div>
    <w:div w:id="242640230">
      <w:bodyDiv w:val="1"/>
      <w:marLeft w:val="0"/>
      <w:marRight w:val="0"/>
      <w:marTop w:val="0"/>
      <w:marBottom w:val="0"/>
      <w:divBdr>
        <w:top w:val="none" w:sz="0" w:space="0" w:color="auto"/>
        <w:left w:val="none" w:sz="0" w:space="0" w:color="auto"/>
        <w:bottom w:val="none" w:sz="0" w:space="0" w:color="auto"/>
        <w:right w:val="none" w:sz="0" w:space="0" w:color="auto"/>
      </w:divBdr>
    </w:div>
    <w:div w:id="278874715">
      <w:bodyDiv w:val="1"/>
      <w:marLeft w:val="0"/>
      <w:marRight w:val="0"/>
      <w:marTop w:val="0"/>
      <w:marBottom w:val="0"/>
      <w:divBdr>
        <w:top w:val="none" w:sz="0" w:space="0" w:color="auto"/>
        <w:left w:val="none" w:sz="0" w:space="0" w:color="auto"/>
        <w:bottom w:val="none" w:sz="0" w:space="0" w:color="auto"/>
        <w:right w:val="none" w:sz="0" w:space="0" w:color="auto"/>
      </w:divBdr>
    </w:div>
    <w:div w:id="283659379">
      <w:bodyDiv w:val="1"/>
      <w:marLeft w:val="0"/>
      <w:marRight w:val="0"/>
      <w:marTop w:val="0"/>
      <w:marBottom w:val="0"/>
      <w:divBdr>
        <w:top w:val="none" w:sz="0" w:space="0" w:color="auto"/>
        <w:left w:val="none" w:sz="0" w:space="0" w:color="auto"/>
        <w:bottom w:val="none" w:sz="0" w:space="0" w:color="auto"/>
        <w:right w:val="none" w:sz="0" w:space="0" w:color="auto"/>
      </w:divBdr>
    </w:div>
    <w:div w:id="338772748">
      <w:bodyDiv w:val="1"/>
      <w:marLeft w:val="0"/>
      <w:marRight w:val="0"/>
      <w:marTop w:val="0"/>
      <w:marBottom w:val="0"/>
      <w:divBdr>
        <w:top w:val="none" w:sz="0" w:space="0" w:color="auto"/>
        <w:left w:val="none" w:sz="0" w:space="0" w:color="auto"/>
        <w:bottom w:val="none" w:sz="0" w:space="0" w:color="auto"/>
        <w:right w:val="none" w:sz="0" w:space="0" w:color="auto"/>
      </w:divBdr>
    </w:div>
    <w:div w:id="364987594">
      <w:bodyDiv w:val="1"/>
      <w:marLeft w:val="0"/>
      <w:marRight w:val="0"/>
      <w:marTop w:val="0"/>
      <w:marBottom w:val="0"/>
      <w:divBdr>
        <w:top w:val="none" w:sz="0" w:space="0" w:color="auto"/>
        <w:left w:val="none" w:sz="0" w:space="0" w:color="auto"/>
        <w:bottom w:val="none" w:sz="0" w:space="0" w:color="auto"/>
        <w:right w:val="none" w:sz="0" w:space="0" w:color="auto"/>
      </w:divBdr>
    </w:div>
    <w:div w:id="382339485">
      <w:bodyDiv w:val="1"/>
      <w:marLeft w:val="0"/>
      <w:marRight w:val="0"/>
      <w:marTop w:val="0"/>
      <w:marBottom w:val="0"/>
      <w:divBdr>
        <w:top w:val="none" w:sz="0" w:space="0" w:color="auto"/>
        <w:left w:val="none" w:sz="0" w:space="0" w:color="auto"/>
        <w:bottom w:val="none" w:sz="0" w:space="0" w:color="auto"/>
        <w:right w:val="none" w:sz="0" w:space="0" w:color="auto"/>
      </w:divBdr>
    </w:div>
    <w:div w:id="435758463">
      <w:bodyDiv w:val="1"/>
      <w:marLeft w:val="0"/>
      <w:marRight w:val="0"/>
      <w:marTop w:val="0"/>
      <w:marBottom w:val="0"/>
      <w:divBdr>
        <w:top w:val="none" w:sz="0" w:space="0" w:color="auto"/>
        <w:left w:val="none" w:sz="0" w:space="0" w:color="auto"/>
        <w:bottom w:val="none" w:sz="0" w:space="0" w:color="auto"/>
        <w:right w:val="none" w:sz="0" w:space="0" w:color="auto"/>
      </w:divBdr>
    </w:div>
    <w:div w:id="464784532">
      <w:bodyDiv w:val="1"/>
      <w:marLeft w:val="0"/>
      <w:marRight w:val="0"/>
      <w:marTop w:val="0"/>
      <w:marBottom w:val="0"/>
      <w:divBdr>
        <w:top w:val="none" w:sz="0" w:space="0" w:color="auto"/>
        <w:left w:val="none" w:sz="0" w:space="0" w:color="auto"/>
        <w:bottom w:val="none" w:sz="0" w:space="0" w:color="auto"/>
        <w:right w:val="none" w:sz="0" w:space="0" w:color="auto"/>
      </w:divBdr>
    </w:div>
    <w:div w:id="491871890">
      <w:bodyDiv w:val="1"/>
      <w:marLeft w:val="0"/>
      <w:marRight w:val="0"/>
      <w:marTop w:val="0"/>
      <w:marBottom w:val="0"/>
      <w:divBdr>
        <w:top w:val="none" w:sz="0" w:space="0" w:color="auto"/>
        <w:left w:val="none" w:sz="0" w:space="0" w:color="auto"/>
        <w:bottom w:val="none" w:sz="0" w:space="0" w:color="auto"/>
        <w:right w:val="none" w:sz="0" w:space="0" w:color="auto"/>
      </w:divBdr>
    </w:div>
    <w:div w:id="607348603">
      <w:bodyDiv w:val="1"/>
      <w:marLeft w:val="0"/>
      <w:marRight w:val="0"/>
      <w:marTop w:val="0"/>
      <w:marBottom w:val="0"/>
      <w:divBdr>
        <w:top w:val="none" w:sz="0" w:space="0" w:color="auto"/>
        <w:left w:val="none" w:sz="0" w:space="0" w:color="auto"/>
        <w:bottom w:val="none" w:sz="0" w:space="0" w:color="auto"/>
        <w:right w:val="none" w:sz="0" w:space="0" w:color="auto"/>
      </w:divBdr>
    </w:div>
    <w:div w:id="649098421">
      <w:bodyDiv w:val="1"/>
      <w:marLeft w:val="0"/>
      <w:marRight w:val="0"/>
      <w:marTop w:val="0"/>
      <w:marBottom w:val="0"/>
      <w:divBdr>
        <w:top w:val="none" w:sz="0" w:space="0" w:color="auto"/>
        <w:left w:val="none" w:sz="0" w:space="0" w:color="auto"/>
        <w:bottom w:val="none" w:sz="0" w:space="0" w:color="auto"/>
        <w:right w:val="none" w:sz="0" w:space="0" w:color="auto"/>
      </w:divBdr>
    </w:div>
    <w:div w:id="654533694">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58193149">
      <w:bodyDiv w:val="1"/>
      <w:marLeft w:val="0"/>
      <w:marRight w:val="0"/>
      <w:marTop w:val="0"/>
      <w:marBottom w:val="0"/>
      <w:divBdr>
        <w:top w:val="none" w:sz="0" w:space="0" w:color="auto"/>
        <w:left w:val="none" w:sz="0" w:space="0" w:color="auto"/>
        <w:bottom w:val="none" w:sz="0" w:space="0" w:color="auto"/>
        <w:right w:val="none" w:sz="0" w:space="0" w:color="auto"/>
      </w:divBdr>
    </w:div>
    <w:div w:id="665549031">
      <w:bodyDiv w:val="1"/>
      <w:marLeft w:val="0"/>
      <w:marRight w:val="0"/>
      <w:marTop w:val="0"/>
      <w:marBottom w:val="0"/>
      <w:divBdr>
        <w:top w:val="none" w:sz="0" w:space="0" w:color="auto"/>
        <w:left w:val="none" w:sz="0" w:space="0" w:color="auto"/>
        <w:bottom w:val="none" w:sz="0" w:space="0" w:color="auto"/>
        <w:right w:val="none" w:sz="0" w:space="0" w:color="auto"/>
      </w:divBdr>
    </w:div>
    <w:div w:id="673993519">
      <w:bodyDiv w:val="1"/>
      <w:marLeft w:val="0"/>
      <w:marRight w:val="0"/>
      <w:marTop w:val="0"/>
      <w:marBottom w:val="0"/>
      <w:divBdr>
        <w:top w:val="none" w:sz="0" w:space="0" w:color="auto"/>
        <w:left w:val="none" w:sz="0" w:space="0" w:color="auto"/>
        <w:bottom w:val="none" w:sz="0" w:space="0" w:color="auto"/>
        <w:right w:val="none" w:sz="0" w:space="0" w:color="auto"/>
      </w:divBdr>
    </w:div>
    <w:div w:id="674840182">
      <w:bodyDiv w:val="1"/>
      <w:marLeft w:val="0"/>
      <w:marRight w:val="0"/>
      <w:marTop w:val="0"/>
      <w:marBottom w:val="0"/>
      <w:divBdr>
        <w:top w:val="none" w:sz="0" w:space="0" w:color="auto"/>
        <w:left w:val="none" w:sz="0" w:space="0" w:color="auto"/>
        <w:bottom w:val="none" w:sz="0" w:space="0" w:color="auto"/>
        <w:right w:val="none" w:sz="0" w:space="0" w:color="auto"/>
      </w:divBdr>
    </w:div>
    <w:div w:id="707605579">
      <w:bodyDiv w:val="1"/>
      <w:marLeft w:val="0"/>
      <w:marRight w:val="0"/>
      <w:marTop w:val="0"/>
      <w:marBottom w:val="0"/>
      <w:divBdr>
        <w:top w:val="none" w:sz="0" w:space="0" w:color="auto"/>
        <w:left w:val="none" w:sz="0" w:space="0" w:color="auto"/>
        <w:bottom w:val="none" w:sz="0" w:space="0" w:color="auto"/>
        <w:right w:val="none" w:sz="0" w:space="0" w:color="auto"/>
      </w:divBdr>
    </w:div>
    <w:div w:id="722143534">
      <w:bodyDiv w:val="1"/>
      <w:marLeft w:val="0"/>
      <w:marRight w:val="0"/>
      <w:marTop w:val="0"/>
      <w:marBottom w:val="0"/>
      <w:divBdr>
        <w:top w:val="none" w:sz="0" w:space="0" w:color="auto"/>
        <w:left w:val="none" w:sz="0" w:space="0" w:color="auto"/>
        <w:bottom w:val="none" w:sz="0" w:space="0" w:color="auto"/>
        <w:right w:val="none" w:sz="0" w:space="0" w:color="auto"/>
      </w:divBdr>
    </w:div>
    <w:div w:id="752552642">
      <w:bodyDiv w:val="1"/>
      <w:marLeft w:val="0"/>
      <w:marRight w:val="0"/>
      <w:marTop w:val="0"/>
      <w:marBottom w:val="0"/>
      <w:divBdr>
        <w:top w:val="none" w:sz="0" w:space="0" w:color="auto"/>
        <w:left w:val="none" w:sz="0" w:space="0" w:color="auto"/>
        <w:bottom w:val="none" w:sz="0" w:space="0" w:color="auto"/>
        <w:right w:val="none" w:sz="0" w:space="0" w:color="auto"/>
      </w:divBdr>
    </w:div>
    <w:div w:id="763037944">
      <w:bodyDiv w:val="1"/>
      <w:marLeft w:val="0"/>
      <w:marRight w:val="0"/>
      <w:marTop w:val="0"/>
      <w:marBottom w:val="0"/>
      <w:divBdr>
        <w:top w:val="none" w:sz="0" w:space="0" w:color="auto"/>
        <w:left w:val="none" w:sz="0" w:space="0" w:color="auto"/>
        <w:bottom w:val="none" w:sz="0" w:space="0" w:color="auto"/>
        <w:right w:val="none" w:sz="0" w:space="0" w:color="auto"/>
      </w:divBdr>
    </w:div>
    <w:div w:id="825166857">
      <w:bodyDiv w:val="1"/>
      <w:marLeft w:val="0"/>
      <w:marRight w:val="0"/>
      <w:marTop w:val="0"/>
      <w:marBottom w:val="0"/>
      <w:divBdr>
        <w:top w:val="none" w:sz="0" w:space="0" w:color="auto"/>
        <w:left w:val="none" w:sz="0" w:space="0" w:color="auto"/>
        <w:bottom w:val="none" w:sz="0" w:space="0" w:color="auto"/>
        <w:right w:val="none" w:sz="0" w:space="0" w:color="auto"/>
      </w:divBdr>
    </w:div>
    <w:div w:id="842475440">
      <w:bodyDiv w:val="1"/>
      <w:marLeft w:val="0"/>
      <w:marRight w:val="0"/>
      <w:marTop w:val="0"/>
      <w:marBottom w:val="0"/>
      <w:divBdr>
        <w:top w:val="none" w:sz="0" w:space="0" w:color="auto"/>
        <w:left w:val="none" w:sz="0" w:space="0" w:color="auto"/>
        <w:bottom w:val="none" w:sz="0" w:space="0" w:color="auto"/>
        <w:right w:val="none" w:sz="0" w:space="0" w:color="auto"/>
      </w:divBdr>
    </w:div>
    <w:div w:id="876165693">
      <w:bodyDiv w:val="1"/>
      <w:marLeft w:val="0"/>
      <w:marRight w:val="0"/>
      <w:marTop w:val="0"/>
      <w:marBottom w:val="0"/>
      <w:divBdr>
        <w:top w:val="none" w:sz="0" w:space="0" w:color="auto"/>
        <w:left w:val="none" w:sz="0" w:space="0" w:color="auto"/>
        <w:bottom w:val="none" w:sz="0" w:space="0" w:color="auto"/>
        <w:right w:val="none" w:sz="0" w:space="0" w:color="auto"/>
      </w:divBdr>
    </w:div>
    <w:div w:id="912856160">
      <w:bodyDiv w:val="1"/>
      <w:marLeft w:val="0"/>
      <w:marRight w:val="0"/>
      <w:marTop w:val="0"/>
      <w:marBottom w:val="0"/>
      <w:divBdr>
        <w:top w:val="none" w:sz="0" w:space="0" w:color="auto"/>
        <w:left w:val="none" w:sz="0" w:space="0" w:color="auto"/>
        <w:bottom w:val="none" w:sz="0" w:space="0" w:color="auto"/>
        <w:right w:val="none" w:sz="0" w:space="0" w:color="auto"/>
      </w:divBdr>
    </w:div>
    <w:div w:id="981468727">
      <w:bodyDiv w:val="1"/>
      <w:marLeft w:val="0"/>
      <w:marRight w:val="0"/>
      <w:marTop w:val="0"/>
      <w:marBottom w:val="0"/>
      <w:divBdr>
        <w:top w:val="none" w:sz="0" w:space="0" w:color="auto"/>
        <w:left w:val="none" w:sz="0" w:space="0" w:color="auto"/>
        <w:bottom w:val="none" w:sz="0" w:space="0" w:color="auto"/>
        <w:right w:val="none" w:sz="0" w:space="0" w:color="auto"/>
      </w:divBdr>
    </w:div>
    <w:div w:id="1019047687">
      <w:bodyDiv w:val="1"/>
      <w:marLeft w:val="0"/>
      <w:marRight w:val="0"/>
      <w:marTop w:val="0"/>
      <w:marBottom w:val="0"/>
      <w:divBdr>
        <w:top w:val="none" w:sz="0" w:space="0" w:color="auto"/>
        <w:left w:val="none" w:sz="0" w:space="0" w:color="auto"/>
        <w:bottom w:val="none" w:sz="0" w:space="0" w:color="auto"/>
        <w:right w:val="none" w:sz="0" w:space="0" w:color="auto"/>
      </w:divBdr>
    </w:div>
    <w:div w:id="1122724273">
      <w:bodyDiv w:val="1"/>
      <w:marLeft w:val="0"/>
      <w:marRight w:val="0"/>
      <w:marTop w:val="0"/>
      <w:marBottom w:val="0"/>
      <w:divBdr>
        <w:top w:val="none" w:sz="0" w:space="0" w:color="auto"/>
        <w:left w:val="none" w:sz="0" w:space="0" w:color="auto"/>
        <w:bottom w:val="none" w:sz="0" w:space="0" w:color="auto"/>
        <w:right w:val="none" w:sz="0" w:space="0" w:color="auto"/>
      </w:divBdr>
    </w:div>
    <w:div w:id="1151826844">
      <w:bodyDiv w:val="1"/>
      <w:marLeft w:val="0"/>
      <w:marRight w:val="0"/>
      <w:marTop w:val="0"/>
      <w:marBottom w:val="0"/>
      <w:divBdr>
        <w:top w:val="none" w:sz="0" w:space="0" w:color="auto"/>
        <w:left w:val="none" w:sz="0" w:space="0" w:color="auto"/>
        <w:bottom w:val="none" w:sz="0" w:space="0" w:color="auto"/>
        <w:right w:val="none" w:sz="0" w:space="0" w:color="auto"/>
      </w:divBdr>
    </w:div>
    <w:div w:id="1155536628">
      <w:bodyDiv w:val="1"/>
      <w:marLeft w:val="0"/>
      <w:marRight w:val="0"/>
      <w:marTop w:val="0"/>
      <w:marBottom w:val="0"/>
      <w:divBdr>
        <w:top w:val="none" w:sz="0" w:space="0" w:color="auto"/>
        <w:left w:val="none" w:sz="0" w:space="0" w:color="auto"/>
        <w:bottom w:val="none" w:sz="0" w:space="0" w:color="auto"/>
        <w:right w:val="none" w:sz="0" w:space="0" w:color="auto"/>
      </w:divBdr>
    </w:div>
    <w:div w:id="1169714816">
      <w:bodyDiv w:val="1"/>
      <w:marLeft w:val="0"/>
      <w:marRight w:val="0"/>
      <w:marTop w:val="0"/>
      <w:marBottom w:val="0"/>
      <w:divBdr>
        <w:top w:val="none" w:sz="0" w:space="0" w:color="auto"/>
        <w:left w:val="none" w:sz="0" w:space="0" w:color="auto"/>
        <w:bottom w:val="none" w:sz="0" w:space="0" w:color="auto"/>
        <w:right w:val="none" w:sz="0" w:space="0" w:color="auto"/>
      </w:divBdr>
    </w:div>
    <w:div w:id="1268387335">
      <w:bodyDiv w:val="1"/>
      <w:marLeft w:val="0"/>
      <w:marRight w:val="0"/>
      <w:marTop w:val="0"/>
      <w:marBottom w:val="0"/>
      <w:divBdr>
        <w:top w:val="none" w:sz="0" w:space="0" w:color="auto"/>
        <w:left w:val="none" w:sz="0" w:space="0" w:color="auto"/>
        <w:bottom w:val="none" w:sz="0" w:space="0" w:color="auto"/>
        <w:right w:val="none" w:sz="0" w:space="0" w:color="auto"/>
      </w:divBdr>
    </w:div>
    <w:div w:id="1297292931">
      <w:bodyDiv w:val="1"/>
      <w:marLeft w:val="0"/>
      <w:marRight w:val="0"/>
      <w:marTop w:val="0"/>
      <w:marBottom w:val="0"/>
      <w:divBdr>
        <w:top w:val="none" w:sz="0" w:space="0" w:color="auto"/>
        <w:left w:val="none" w:sz="0" w:space="0" w:color="auto"/>
        <w:bottom w:val="none" w:sz="0" w:space="0" w:color="auto"/>
        <w:right w:val="none" w:sz="0" w:space="0" w:color="auto"/>
      </w:divBdr>
    </w:div>
    <w:div w:id="1362053878">
      <w:bodyDiv w:val="1"/>
      <w:marLeft w:val="0"/>
      <w:marRight w:val="0"/>
      <w:marTop w:val="0"/>
      <w:marBottom w:val="0"/>
      <w:divBdr>
        <w:top w:val="none" w:sz="0" w:space="0" w:color="auto"/>
        <w:left w:val="none" w:sz="0" w:space="0" w:color="auto"/>
        <w:bottom w:val="none" w:sz="0" w:space="0" w:color="auto"/>
        <w:right w:val="none" w:sz="0" w:space="0" w:color="auto"/>
      </w:divBdr>
    </w:div>
    <w:div w:id="1382170247">
      <w:bodyDiv w:val="1"/>
      <w:marLeft w:val="0"/>
      <w:marRight w:val="0"/>
      <w:marTop w:val="0"/>
      <w:marBottom w:val="0"/>
      <w:divBdr>
        <w:top w:val="none" w:sz="0" w:space="0" w:color="auto"/>
        <w:left w:val="none" w:sz="0" w:space="0" w:color="auto"/>
        <w:bottom w:val="none" w:sz="0" w:space="0" w:color="auto"/>
        <w:right w:val="none" w:sz="0" w:space="0" w:color="auto"/>
      </w:divBdr>
    </w:div>
    <w:div w:id="1453473798">
      <w:bodyDiv w:val="1"/>
      <w:marLeft w:val="0"/>
      <w:marRight w:val="0"/>
      <w:marTop w:val="0"/>
      <w:marBottom w:val="0"/>
      <w:divBdr>
        <w:top w:val="none" w:sz="0" w:space="0" w:color="auto"/>
        <w:left w:val="none" w:sz="0" w:space="0" w:color="auto"/>
        <w:bottom w:val="none" w:sz="0" w:space="0" w:color="auto"/>
        <w:right w:val="none" w:sz="0" w:space="0" w:color="auto"/>
      </w:divBdr>
    </w:div>
    <w:div w:id="1502356721">
      <w:bodyDiv w:val="1"/>
      <w:marLeft w:val="0"/>
      <w:marRight w:val="0"/>
      <w:marTop w:val="0"/>
      <w:marBottom w:val="0"/>
      <w:divBdr>
        <w:top w:val="none" w:sz="0" w:space="0" w:color="auto"/>
        <w:left w:val="none" w:sz="0" w:space="0" w:color="auto"/>
        <w:bottom w:val="none" w:sz="0" w:space="0" w:color="auto"/>
        <w:right w:val="none" w:sz="0" w:space="0" w:color="auto"/>
      </w:divBdr>
    </w:div>
    <w:div w:id="1511211792">
      <w:bodyDiv w:val="1"/>
      <w:marLeft w:val="0"/>
      <w:marRight w:val="0"/>
      <w:marTop w:val="0"/>
      <w:marBottom w:val="0"/>
      <w:divBdr>
        <w:top w:val="none" w:sz="0" w:space="0" w:color="auto"/>
        <w:left w:val="none" w:sz="0" w:space="0" w:color="auto"/>
        <w:bottom w:val="none" w:sz="0" w:space="0" w:color="auto"/>
        <w:right w:val="none" w:sz="0" w:space="0" w:color="auto"/>
      </w:divBdr>
    </w:div>
    <w:div w:id="1511599949">
      <w:bodyDiv w:val="1"/>
      <w:marLeft w:val="0"/>
      <w:marRight w:val="0"/>
      <w:marTop w:val="0"/>
      <w:marBottom w:val="0"/>
      <w:divBdr>
        <w:top w:val="none" w:sz="0" w:space="0" w:color="auto"/>
        <w:left w:val="none" w:sz="0" w:space="0" w:color="auto"/>
        <w:bottom w:val="none" w:sz="0" w:space="0" w:color="auto"/>
        <w:right w:val="none" w:sz="0" w:space="0" w:color="auto"/>
      </w:divBdr>
    </w:div>
    <w:div w:id="1520046031">
      <w:bodyDiv w:val="1"/>
      <w:marLeft w:val="0"/>
      <w:marRight w:val="0"/>
      <w:marTop w:val="0"/>
      <w:marBottom w:val="0"/>
      <w:divBdr>
        <w:top w:val="none" w:sz="0" w:space="0" w:color="auto"/>
        <w:left w:val="none" w:sz="0" w:space="0" w:color="auto"/>
        <w:bottom w:val="none" w:sz="0" w:space="0" w:color="auto"/>
        <w:right w:val="none" w:sz="0" w:space="0" w:color="auto"/>
      </w:divBdr>
    </w:div>
    <w:div w:id="1560046072">
      <w:bodyDiv w:val="1"/>
      <w:marLeft w:val="0"/>
      <w:marRight w:val="0"/>
      <w:marTop w:val="0"/>
      <w:marBottom w:val="0"/>
      <w:divBdr>
        <w:top w:val="none" w:sz="0" w:space="0" w:color="auto"/>
        <w:left w:val="none" w:sz="0" w:space="0" w:color="auto"/>
        <w:bottom w:val="none" w:sz="0" w:space="0" w:color="auto"/>
        <w:right w:val="none" w:sz="0" w:space="0" w:color="auto"/>
      </w:divBdr>
    </w:div>
    <w:div w:id="1580406537">
      <w:bodyDiv w:val="1"/>
      <w:marLeft w:val="0"/>
      <w:marRight w:val="0"/>
      <w:marTop w:val="0"/>
      <w:marBottom w:val="0"/>
      <w:divBdr>
        <w:top w:val="none" w:sz="0" w:space="0" w:color="auto"/>
        <w:left w:val="none" w:sz="0" w:space="0" w:color="auto"/>
        <w:bottom w:val="none" w:sz="0" w:space="0" w:color="auto"/>
        <w:right w:val="none" w:sz="0" w:space="0" w:color="auto"/>
      </w:divBdr>
    </w:div>
    <w:div w:id="1611475488">
      <w:bodyDiv w:val="1"/>
      <w:marLeft w:val="0"/>
      <w:marRight w:val="0"/>
      <w:marTop w:val="0"/>
      <w:marBottom w:val="0"/>
      <w:divBdr>
        <w:top w:val="none" w:sz="0" w:space="0" w:color="auto"/>
        <w:left w:val="none" w:sz="0" w:space="0" w:color="auto"/>
        <w:bottom w:val="none" w:sz="0" w:space="0" w:color="auto"/>
        <w:right w:val="none" w:sz="0" w:space="0" w:color="auto"/>
      </w:divBdr>
    </w:div>
    <w:div w:id="1644118996">
      <w:bodyDiv w:val="1"/>
      <w:marLeft w:val="0"/>
      <w:marRight w:val="0"/>
      <w:marTop w:val="0"/>
      <w:marBottom w:val="0"/>
      <w:divBdr>
        <w:top w:val="none" w:sz="0" w:space="0" w:color="auto"/>
        <w:left w:val="none" w:sz="0" w:space="0" w:color="auto"/>
        <w:bottom w:val="none" w:sz="0" w:space="0" w:color="auto"/>
        <w:right w:val="none" w:sz="0" w:space="0" w:color="auto"/>
      </w:divBdr>
    </w:div>
    <w:div w:id="1662811901">
      <w:bodyDiv w:val="1"/>
      <w:marLeft w:val="0"/>
      <w:marRight w:val="0"/>
      <w:marTop w:val="0"/>
      <w:marBottom w:val="0"/>
      <w:divBdr>
        <w:top w:val="none" w:sz="0" w:space="0" w:color="auto"/>
        <w:left w:val="none" w:sz="0" w:space="0" w:color="auto"/>
        <w:bottom w:val="none" w:sz="0" w:space="0" w:color="auto"/>
        <w:right w:val="none" w:sz="0" w:space="0" w:color="auto"/>
      </w:divBdr>
    </w:div>
    <w:div w:id="1665039320">
      <w:bodyDiv w:val="1"/>
      <w:marLeft w:val="0"/>
      <w:marRight w:val="0"/>
      <w:marTop w:val="0"/>
      <w:marBottom w:val="0"/>
      <w:divBdr>
        <w:top w:val="none" w:sz="0" w:space="0" w:color="auto"/>
        <w:left w:val="none" w:sz="0" w:space="0" w:color="auto"/>
        <w:bottom w:val="none" w:sz="0" w:space="0" w:color="auto"/>
        <w:right w:val="none" w:sz="0" w:space="0" w:color="auto"/>
      </w:divBdr>
    </w:div>
    <w:div w:id="1711613932">
      <w:bodyDiv w:val="1"/>
      <w:marLeft w:val="0"/>
      <w:marRight w:val="0"/>
      <w:marTop w:val="0"/>
      <w:marBottom w:val="0"/>
      <w:divBdr>
        <w:top w:val="none" w:sz="0" w:space="0" w:color="auto"/>
        <w:left w:val="none" w:sz="0" w:space="0" w:color="auto"/>
        <w:bottom w:val="none" w:sz="0" w:space="0" w:color="auto"/>
        <w:right w:val="none" w:sz="0" w:space="0" w:color="auto"/>
      </w:divBdr>
    </w:div>
    <w:div w:id="1723552418">
      <w:bodyDiv w:val="1"/>
      <w:marLeft w:val="0"/>
      <w:marRight w:val="0"/>
      <w:marTop w:val="0"/>
      <w:marBottom w:val="0"/>
      <w:divBdr>
        <w:top w:val="none" w:sz="0" w:space="0" w:color="auto"/>
        <w:left w:val="none" w:sz="0" w:space="0" w:color="auto"/>
        <w:bottom w:val="none" w:sz="0" w:space="0" w:color="auto"/>
        <w:right w:val="none" w:sz="0" w:space="0" w:color="auto"/>
      </w:divBdr>
    </w:div>
    <w:div w:id="1735276960">
      <w:bodyDiv w:val="1"/>
      <w:marLeft w:val="0"/>
      <w:marRight w:val="0"/>
      <w:marTop w:val="0"/>
      <w:marBottom w:val="0"/>
      <w:divBdr>
        <w:top w:val="none" w:sz="0" w:space="0" w:color="auto"/>
        <w:left w:val="none" w:sz="0" w:space="0" w:color="auto"/>
        <w:bottom w:val="none" w:sz="0" w:space="0" w:color="auto"/>
        <w:right w:val="none" w:sz="0" w:space="0" w:color="auto"/>
      </w:divBdr>
    </w:div>
    <w:div w:id="1747654516">
      <w:bodyDiv w:val="1"/>
      <w:marLeft w:val="0"/>
      <w:marRight w:val="0"/>
      <w:marTop w:val="0"/>
      <w:marBottom w:val="0"/>
      <w:divBdr>
        <w:top w:val="none" w:sz="0" w:space="0" w:color="auto"/>
        <w:left w:val="none" w:sz="0" w:space="0" w:color="auto"/>
        <w:bottom w:val="none" w:sz="0" w:space="0" w:color="auto"/>
        <w:right w:val="none" w:sz="0" w:space="0" w:color="auto"/>
      </w:divBdr>
    </w:div>
    <w:div w:id="1769689122">
      <w:bodyDiv w:val="1"/>
      <w:marLeft w:val="0"/>
      <w:marRight w:val="0"/>
      <w:marTop w:val="0"/>
      <w:marBottom w:val="0"/>
      <w:divBdr>
        <w:top w:val="none" w:sz="0" w:space="0" w:color="auto"/>
        <w:left w:val="none" w:sz="0" w:space="0" w:color="auto"/>
        <w:bottom w:val="none" w:sz="0" w:space="0" w:color="auto"/>
        <w:right w:val="none" w:sz="0" w:space="0" w:color="auto"/>
      </w:divBdr>
    </w:div>
    <w:div w:id="1774128195">
      <w:bodyDiv w:val="1"/>
      <w:marLeft w:val="0"/>
      <w:marRight w:val="0"/>
      <w:marTop w:val="0"/>
      <w:marBottom w:val="0"/>
      <w:divBdr>
        <w:top w:val="none" w:sz="0" w:space="0" w:color="auto"/>
        <w:left w:val="none" w:sz="0" w:space="0" w:color="auto"/>
        <w:bottom w:val="none" w:sz="0" w:space="0" w:color="auto"/>
        <w:right w:val="none" w:sz="0" w:space="0" w:color="auto"/>
      </w:divBdr>
    </w:div>
    <w:div w:id="1812674290">
      <w:bodyDiv w:val="1"/>
      <w:marLeft w:val="0"/>
      <w:marRight w:val="0"/>
      <w:marTop w:val="0"/>
      <w:marBottom w:val="0"/>
      <w:divBdr>
        <w:top w:val="none" w:sz="0" w:space="0" w:color="auto"/>
        <w:left w:val="none" w:sz="0" w:space="0" w:color="auto"/>
        <w:bottom w:val="none" w:sz="0" w:space="0" w:color="auto"/>
        <w:right w:val="none" w:sz="0" w:space="0" w:color="auto"/>
      </w:divBdr>
    </w:div>
    <w:div w:id="1892303349">
      <w:bodyDiv w:val="1"/>
      <w:marLeft w:val="0"/>
      <w:marRight w:val="0"/>
      <w:marTop w:val="0"/>
      <w:marBottom w:val="0"/>
      <w:divBdr>
        <w:top w:val="none" w:sz="0" w:space="0" w:color="auto"/>
        <w:left w:val="none" w:sz="0" w:space="0" w:color="auto"/>
        <w:bottom w:val="none" w:sz="0" w:space="0" w:color="auto"/>
        <w:right w:val="none" w:sz="0" w:space="0" w:color="auto"/>
      </w:divBdr>
    </w:div>
    <w:div w:id="1912538598">
      <w:bodyDiv w:val="1"/>
      <w:marLeft w:val="0"/>
      <w:marRight w:val="0"/>
      <w:marTop w:val="0"/>
      <w:marBottom w:val="0"/>
      <w:divBdr>
        <w:top w:val="none" w:sz="0" w:space="0" w:color="auto"/>
        <w:left w:val="none" w:sz="0" w:space="0" w:color="auto"/>
        <w:bottom w:val="none" w:sz="0" w:space="0" w:color="auto"/>
        <w:right w:val="none" w:sz="0" w:space="0" w:color="auto"/>
      </w:divBdr>
    </w:div>
    <w:div w:id="193890371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1969357327">
      <w:bodyDiv w:val="1"/>
      <w:marLeft w:val="0"/>
      <w:marRight w:val="0"/>
      <w:marTop w:val="0"/>
      <w:marBottom w:val="0"/>
      <w:divBdr>
        <w:top w:val="none" w:sz="0" w:space="0" w:color="auto"/>
        <w:left w:val="none" w:sz="0" w:space="0" w:color="auto"/>
        <w:bottom w:val="none" w:sz="0" w:space="0" w:color="auto"/>
        <w:right w:val="none" w:sz="0" w:space="0" w:color="auto"/>
      </w:divBdr>
    </w:div>
    <w:div w:id="1980302930">
      <w:bodyDiv w:val="1"/>
      <w:marLeft w:val="0"/>
      <w:marRight w:val="0"/>
      <w:marTop w:val="0"/>
      <w:marBottom w:val="0"/>
      <w:divBdr>
        <w:top w:val="none" w:sz="0" w:space="0" w:color="auto"/>
        <w:left w:val="none" w:sz="0" w:space="0" w:color="auto"/>
        <w:bottom w:val="none" w:sz="0" w:space="0" w:color="auto"/>
        <w:right w:val="none" w:sz="0" w:space="0" w:color="auto"/>
      </w:divBdr>
    </w:div>
    <w:div w:id="1994093242">
      <w:bodyDiv w:val="1"/>
      <w:marLeft w:val="0"/>
      <w:marRight w:val="0"/>
      <w:marTop w:val="0"/>
      <w:marBottom w:val="0"/>
      <w:divBdr>
        <w:top w:val="none" w:sz="0" w:space="0" w:color="auto"/>
        <w:left w:val="none" w:sz="0" w:space="0" w:color="auto"/>
        <w:bottom w:val="none" w:sz="0" w:space="0" w:color="auto"/>
        <w:right w:val="none" w:sz="0" w:space="0" w:color="auto"/>
      </w:divBdr>
    </w:div>
    <w:div w:id="2031031876">
      <w:bodyDiv w:val="1"/>
      <w:marLeft w:val="0"/>
      <w:marRight w:val="0"/>
      <w:marTop w:val="0"/>
      <w:marBottom w:val="0"/>
      <w:divBdr>
        <w:top w:val="none" w:sz="0" w:space="0" w:color="auto"/>
        <w:left w:val="none" w:sz="0" w:space="0" w:color="auto"/>
        <w:bottom w:val="none" w:sz="0" w:space="0" w:color="auto"/>
        <w:right w:val="none" w:sz="0" w:space="0" w:color="auto"/>
      </w:divBdr>
    </w:div>
    <w:div w:id="21060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2</Pages>
  <Words>240</Words>
  <Characters>1374</Characters>
  <Application>Microsoft Office Word</Application>
  <DocSecurity>0</DocSecurity>
  <Lines>11</Lines>
  <Paragraphs>3</Paragraphs>
  <ScaleCrop>false</ScaleCrop>
  <Company>Lenovo (Beijing) Limited</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libn</dc:creator>
  <cp:keywords/>
  <dc:description/>
  <cp:lastModifiedBy>Administrator</cp:lastModifiedBy>
  <cp:revision>150</cp:revision>
  <cp:lastPrinted>2020-07-24T07:44:00Z</cp:lastPrinted>
  <dcterms:created xsi:type="dcterms:W3CDTF">2016-03-10T01:57:00Z</dcterms:created>
  <dcterms:modified xsi:type="dcterms:W3CDTF">2020-08-17T03:51:00Z</dcterms:modified>
</cp:coreProperties>
</file>